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BD" w:rsidRDefault="00AA2CBD" w:rsidP="00AA2CBD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AA2CBD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استدلال ابن جني في توجيه بعض الشواذ بسياق القراءة</w:t>
      </w:r>
    </w:p>
    <w:p w:rsidR="00AA2CBD" w:rsidRPr="00F7753E" w:rsidRDefault="00AA2CBD" w:rsidP="00AA2CBD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AA2CBD" w:rsidRPr="00F7753E" w:rsidRDefault="00AA2CBD" w:rsidP="00AA2CBD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AA2CBD" w:rsidRPr="00F7753E" w:rsidRDefault="00AA2CBD" w:rsidP="00AA2CBD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AA2CBD" w:rsidRPr="00426F7E" w:rsidRDefault="00AA2CBD" w:rsidP="00AA2CBD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AA2CBD" w:rsidRPr="00426F7E" w:rsidRDefault="00AA2CBD" w:rsidP="00AA2CBD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AA2CBD" w:rsidRPr="00426F7E" w:rsidRDefault="00AA2CBD" w:rsidP="00AA2CBD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AA2CBD" w:rsidRPr="00426F7E" w:rsidRDefault="00AA2CBD" w:rsidP="00AA2CBD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AA2CBD" w:rsidRDefault="00AA2CBD" w:rsidP="00AA2CBD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AA2CBD" w:rsidRPr="00426F7E" w:rsidRDefault="00AA2CBD" w:rsidP="00AA2CBD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AA2CBD" w:rsidRDefault="00AA2CBD" w:rsidP="00AA2CBD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AA2CBD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AA2CBD" w:rsidRPr="00AA2CBD" w:rsidRDefault="00AA2CBD" w:rsidP="00AA2CBD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AA2CBD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استدلال ابن جني في توجيه بعض الشواذ بسياق القراءة</w:t>
      </w:r>
    </w:p>
    <w:p w:rsidR="00AA2CBD" w:rsidRPr="00AA2CBD" w:rsidRDefault="00AA2CBD" w:rsidP="00AA2CBD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AA2CBD" w:rsidRPr="00AA2CBD" w:rsidRDefault="00AA2CBD" w:rsidP="00AA2CBD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AA2CB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AA2CBD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سياق ، القراءه، الشواذ</w:t>
      </w:r>
    </w:p>
    <w:p w:rsidR="00AA2CBD" w:rsidRPr="00AA2CBD" w:rsidRDefault="00AA2CBD" w:rsidP="00AA2CBD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AA2CBD" w:rsidRPr="00AA2CBD" w:rsidRDefault="00AA2CBD" w:rsidP="00AA2CBD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AA2CBD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استدلال ابن جني في توجيه بعض الشواذ بسياق القراءة</w:t>
      </w:r>
    </w:p>
    <w:p w:rsidR="00AA2CBD" w:rsidRPr="00AA2CBD" w:rsidRDefault="00AA2CBD" w:rsidP="00AA2CB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A2CBD" w:rsidRPr="00AA2CBD" w:rsidRDefault="00AA2CBD" w:rsidP="00AA2CBD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AA2CBD" w:rsidRPr="00AA2CBD" w:rsidRDefault="00AA2CBD" w:rsidP="00AA2CBD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AA2CBD" w:rsidRPr="00AA2CBD" w:rsidRDefault="00AA2CBD" w:rsidP="00AA2CBD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استدل ابن جني في توجيه بعض الشواذ بسياق القراءة، واستأنس بما توحيه المناسبة في إصدار بعض أحكامه،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وكان هذا السياق معنويًّا يستخلص من المناسبة، ولفظيًّا يعرف مما تقدم، أو تأخر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A2CBD" w:rsidRPr="00AA2CBD" w:rsidRDefault="00AA2CBD" w:rsidP="00AA2CBD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فمن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أمثلة السياق المعنوي: تقديره إضمار الفاعل في قراءة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فيرى الذين في قلوبهم مرض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قال: فاعل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يرى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مضمر، دلت عليه الحال أي: فيرى رائيهم، ومتأملهم المشهورة، أو ببعض أقوال العرب، وقد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أيد السياق هنا بقول العرب: إذا كان غدًا فأتيني أي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إذا كان ما نحن عليه من البلاء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في غد فأتيني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AA2CBD" w:rsidRPr="00AA2CBD" w:rsidRDefault="00AA2CBD" w:rsidP="00AA2CBD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أما السياق اللفظي: فمنه استدلاله في قراءة مجاهد التي جاءت فيها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بل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في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موضع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أم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في قوله تعالى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أم أن تأمرهم أحلامهم بهذا بل هم قوم طاغون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، ولكن القراءة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الصحيحة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AA2CBD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AA2CBD">
        <w:rPr>
          <w:rFonts w:ascii="QCF_P525" w:hAnsi="QCF_P525" w:cs="QCF_P525"/>
          <w:b/>
          <w:bCs/>
          <w:spacing w:val="-4"/>
          <w:sz w:val="18"/>
          <w:szCs w:val="18"/>
          <w:rtl/>
        </w:rPr>
        <w:t>ﭖ ﭗ ﭘ ﭙ</w:t>
      </w:r>
      <w:r w:rsidRPr="00AA2CBD">
        <w:rPr>
          <w:rFonts w:ascii="QCF_P525" w:hAnsi="QCF_P525" w:cs="DecoType Thuluth"/>
          <w:b/>
          <w:bCs/>
          <w:spacing w:val="-4"/>
          <w:sz w:val="18"/>
          <w:szCs w:val="18"/>
          <w:rtl/>
        </w:rPr>
        <w:t>}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الطور: 32]، فقد استدل بذلك على مجيء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أم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بمعنى: بل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في الآية السابقة من السورة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AA2CBD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AA2CBD">
        <w:rPr>
          <w:rFonts w:ascii="QCF_P524" w:hAnsi="QCF_P524" w:cs="QCF_P524"/>
          <w:b/>
          <w:bCs/>
          <w:spacing w:val="-4"/>
          <w:sz w:val="18"/>
          <w:szCs w:val="18"/>
          <w:rtl/>
        </w:rPr>
        <w:t xml:space="preserve">ﯳ ﯴ ﯵ ﯶ ﯷ ﯸ ﯹ ﯺ </w:t>
      </w:r>
      <w:r w:rsidRPr="00AA2CBD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 xml:space="preserve"> 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* </w:t>
      </w:r>
      <w:r w:rsidRPr="00AA2CBD">
        <w:rPr>
          <w:rFonts w:ascii="QCF_P524" w:hAnsi="QCF_P524" w:cs="QCF_P524"/>
          <w:b/>
          <w:bCs/>
          <w:spacing w:val="-4"/>
          <w:sz w:val="18"/>
          <w:szCs w:val="18"/>
          <w:rtl/>
        </w:rPr>
        <w:t>ﯼ ﯽ ﯾ ﯿ ﰀ ﰁ ﰂ</w:t>
      </w:r>
      <w:r w:rsidRPr="00AA2CBD">
        <w:rPr>
          <w:rFonts w:ascii="QCF_P524" w:hAnsi="QCF_P524" w:cs="DecoType Thuluth"/>
          <w:b/>
          <w:bCs/>
          <w:spacing w:val="-4"/>
          <w:sz w:val="18"/>
          <w:szCs w:val="18"/>
          <w:rtl/>
        </w:rPr>
        <w:t>}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AA2CBD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الطور: 29، 30]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، وقد فعل هذا في مواطن أخرى، وكان يقول: ألا ترى إلى قوله قبل ذلك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ويدل عليه قوله قبله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A2CBD" w:rsidRPr="00AA2CBD" w:rsidRDefault="00AA2CBD" w:rsidP="00AA2CBD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ومن السياق اللفظي أيضًا: ما يتأخر عن القراءة، غير أن هذا التأخر لم يكن طويلًا؛ فهو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لم يتجاوز حدود الآية نفسها، ونذكر منه تعليقه بما في توجيه قراءة مجاهد</w:t>
      </w:r>
      <w:r w:rsidRPr="00AA2CBD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إن تعف عن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طائفة منكم تعذب طائفة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، فقد حمل أبو الفتح تأنيث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تعف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على المعنى،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ثم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استأنس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بتأنيث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تعذب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، قال: وزاد في الأنس بذلك مجيء التأنيث يليه، وهو قوله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تعذب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طائفة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فابن جني يستأنس بالسياق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الذي جاءت فيه القراءة في المعنى واللفظ، ويبحث عن وجه القراءة في موقعها العام، ولا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يقتطعها منه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AA2CBD" w:rsidRPr="00AA2CBD" w:rsidRDefault="00AA2CBD" w:rsidP="00AA2CBD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وخلاصة القول: </w:t>
      </w:r>
      <w:r w:rsidRPr="00AA2CBD">
        <w:rPr>
          <w:rFonts w:ascii="Simplified Arabic" w:hAnsi="Simplified Arabic" w:cs="AL-Hotham" w:hint="cs"/>
          <w:b/>
          <w:bCs/>
          <w:sz w:val="18"/>
          <w:szCs w:val="18"/>
          <w:rtl/>
        </w:rPr>
        <w:t>أ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ن ابن جني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قد استعان كغيره من النحاة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بالقراءات المشهورة، والقراءات الشاذة، والحديث النبوي الشريف، والشعر، وأقوال بعض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العرب،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واتخذ من القياس ملجأ يوفر له الاستدلال على كثير من وجوه الشواذ، واستعان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</w:rPr>
        <w:t>أيضًا بالسياق، وساق ذلك كله في إطار متكامل، فتنبه</w:t>
      </w:r>
      <w:r w:rsidRPr="00AA2CBD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A2CBD" w:rsidRPr="00AA2CBD" w:rsidRDefault="00AA2CBD" w:rsidP="00AA2CBD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</w:p>
    <w:p w:rsidR="00AA2CBD" w:rsidRPr="00AA2CBD" w:rsidRDefault="00AA2CBD" w:rsidP="00AA2CBD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AA2CBD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AA2CBD" w:rsidRPr="00AA2CBD" w:rsidRDefault="00AA2CBD" w:rsidP="00AA2CBD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AA2CBD" w:rsidRPr="00AA2CBD" w:rsidRDefault="00AA2CBD" w:rsidP="00AA2CBD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AA2CBD" w:rsidRPr="00AA2CBD" w:rsidRDefault="00AA2CBD" w:rsidP="00AA2CBD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AA2CBD" w:rsidRPr="00AA2CBD" w:rsidRDefault="00AA2CBD" w:rsidP="00AA2CBD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AA2CBD" w:rsidRPr="00AA2CBD" w:rsidRDefault="00AA2CBD" w:rsidP="00AA2CBD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AA2CBD" w:rsidRPr="00AA2CBD" w:rsidRDefault="00AA2CBD" w:rsidP="00AA2CBD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AA2CBD" w:rsidRPr="00AA2CBD" w:rsidRDefault="00AA2CBD" w:rsidP="00AA2CBD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AA2CBD" w:rsidRPr="00AA2CBD" w:rsidRDefault="00AA2CBD" w:rsidP="00AA2CBD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AA2CBD" w:rsidRPr="00AA2CBD" w:rsidRDefault="00AA2CBD" w:rsidP="00AA2CBD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AA2CBD" w:rsidRPr="00AA2CBD" w:rsidRDefault="00AA2CBD" w:rsidP="00AA2CBD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AA2CBD" w:rsidRPr="00AA2CBD" w:rsidRDefault="00AA2CBD" w:rsidP="00AA2CBD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AA2CBD" w:rsidRPr="00AA2CBD" w:rsidRDefault="00AA2CBD" w:rsidP="00AA2CBD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AA2CBD" w:rsidRPr="00AA2CBD" w:rsidRDefault="00AA2CBD" w:rsidP="00AA2CBD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AA2CBD" w:rsidRPr="00AA2CBD" w:rsidRDefault="00AA2CBD" w:rsidP="00AA2CBD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AA2CBD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AA2CBD" w:rsidRPr="00AA2CBD" w:rsidRDefault="00AA2CBD" w:rsidP="00AA2CBD">
      <w:pPr>
        <w:rPr>
          <w:rFonts w:hint="cs"/>
          <w:b/>
          <w:bCs/>
          <w:sz w:val="18"/>
          <w:szCs w:val="18"/>
        </w:rPr>
      </w:pPr>
    </w:p>
    <w:p w:rsidR="00AA2CBD" w:rsidRPr="00AA2CBD" w:rsidRDefault="00AA2CBD" w:rsidP="00AA2CBD">
      <w:pPr>
        <w:rPr>
          <w:b/>
          <w:bCs/>
          <w:sz w:val="18"/>
          <w:szCs w:val="18"/>
        </w:rPr>
      </w:pPr>
    </w:p>
    <w:p w:rsidR="00AA2CBD" w:rsidRPr="00AA2CBD" w:rsidRDefault="00AA2CBD" w:rsidP="00AA2CBD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AA2CBD" w:rsidRPr="00AA2CBD" w:rsidRDefault="00AA2CBD" w:rsidP="00AA2CBD">
      <w:pPr>
        <w:rPr>
          <w:b/>
          <w:bCs/>
          <w:sz w:val="18"/>
          <w:szCs w:val="18"/>
        </w:rPr>
      </w:pPr>
    </w:p>
    <w:p w:rsidR="00AA2CBD" w:rsidRDefault="00AA2CBD" w:rsidP="00AA2CBD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AA2CBD" w:rsidSect="00AA2CBD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4219C3" w:rsidRPr="00AA2CBD" w:rsidRDefault="004219C3" w:rsidP="00AA2CBD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4219C3" w:rsidRPr="00AA2CBD" w:rsidSect="00AA2CB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5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2CBD"/>
    <w:rsid w:val="001A2769"/>
    <w:rsid w:val="004168A0"/>
    <w:rsid w:val="004219C3"/>
    <w:rsid w:val="004A286F"/>
    <w:rsid w:val="00AA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CB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2CBD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AA2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Company>Fannan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2013-06-16T15:18:00Z</dcterms:created>
  <dcterms:modified xsi:type="dcterms:W3CDTF">2013-06-16T15:23:00Z</dcterms:modified>
</cp:coreProperties>
</file>