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8C1694" w:rsidP="008C1694">
      <w:pPr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8C1694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أثر الاعتزال عند ابن جني على توجيه القراءات الشاذة</w:t>
      </w:r>
    </w:p>
    <w:p w:rsidR="008C1694" w:rsidRPr="00F7753E" w:rsidRDefault="008C1694" w:rsidP="008C1694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8C1694" w:rsidRPr="00426F7E" w:rsidRDefault="008C1694" w:rsidP="008C169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8C1694" w:rsidRPr="00426F7E" w:rsidRDefault="008C1694" w:rsidP="008C169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C1694" w:rsidRPr="00426F7E" w:rsidRDefault="008C1694" w:rsidP="008C1694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C1694" w:rsidRPr="00426F7E" w:rsidRDefault="008C1694" w:rsidP="008C1694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C1694" w:rsidRDefault="008C1694" w:rsidP="008C1694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8C1694" w:rsidRPr="00426F7E" w:rsidRDefault="008C1694" w:rsidP="008C1694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C1694" w:rsidRDefault="008C1694" w:rsidP="008C169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C1694" w:rsidSect="008C1694">
          <w:pgSz w:w="11906" w:h="16838"/>
          <w:pgMar w:top="1440" w:right="707" w:bottom="1440" w:left="1800" w:header="708" w:footer="708" w:gutter="0"/>
          <w:cols w:space="708"/>
          <w:bidi/>
          <w:rtlGutter/>
          <w:docGrid w:linePitch="360"/>
        </w:sectPr>
      </w:pPr>
    </w:p>
    <w:p w:rsidR="008C1694" w:rsidRPr="008C1694" w:rsidRDefault="008C1694" w:rsidP="008C1694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C1694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أثر الاعتزال عند ابن جني على توجيه القراءات الشاذة</w:t>
      </w:r>
    </w:p>
    <w:p w:rsidR="008C1694" w:rsidRPr="008C1694" w:rsidRDefault="008C1694" w:rsidP="008C1694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8C1694" w:rsidRPr="008C1694" w:rsidRDefault="008C1694" w:rsidP="008C1694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C169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</w:t>
      </w:r>
      <w:r w:rsidRPr="008C1694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 معتزليا، الفارسى، تمثل</w:t>
      </w:r>
    </w:p>
    <w:p w:rsidR="008C1694" w:rsidRPr="008C1694" w:rsidRDefault="008C1694" w:rsidP="008C1694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C1694" w:rsidRPr="008C1694" w:rsidRDefault="008C1694" w:rsidP="008C1694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C1694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أثر الاعتزال عند ابن جني على توجيه القراءات الشاذة</w:t>
      </w:r>
    </w:p>
    <w:p w:rsidR="008C1694" w:rsidRPr="008C1694" w:rsidRDefault="008C1694" w:rsidP="008C1694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C1694" w:rsidRPr="008C1694" w:rsidRDefault="008C1694" w:rsidP="008C1694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C1694" w:rsidRPr="008C1694" w:rsidRDefault="008C1694" w:rsidP="008C1694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لا زلنا مع ابن جني، وها نحن </w:t>
      </w:r>
      <w:r w:rsidRPr="008C1694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أولاء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في هذا الدرس نبين أثر الاعتزال عند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ابن جني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من المعلوم أو من المعروف أن ابن جني كان معتزليًّا كأستاذه الفارسي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وقد أطل هذا الفكر في بعض توجيهاته للقراءات الشاذة؛ مما يدل على تمثل أبي الفتح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لثقافات عصره، وتياره الفكري الجارف الذي يعمل على تحكيم العقل والمنطق في كل ما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يعرضه له من ظواهر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نذكر من ذلك موقفه من قراءة إبراهيم بن أبي عبلة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وكلم اللهَ موسى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فقد ذهب أبو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الفتح إلى أن هذه القراءة على الحقيقة، وأن موسى قد كلم الله فعلًا بدلالة نظره إليه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في قوله تعالى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167" w:hAnsi="QCF_P167" w:cs="QCF_P167"/>
          <w:b/>
          <w:bCs/>
          <w:sz w:val="18"/>
          <w:szCs w:val="18"/>
          <w:rtl/>
        </w:rPr>
        <w:t>ﯗ ﯘ ﯙ ﯚ</w:t>
      </w:r>
      <w:r w:rsidRPr="008C1694">
        <w:rPr>
          <w:rFonts w:ascii="QCF_P167" w:hAnsi="QCF_P167" w:cs="DecoType Thuluth"/>
          <w:b/>
          <w:bCs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الأعراف: 143] وهي فكرة من أفكار المعتزلة التي تناهض أهل السنة الذين يذهبون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في ذلك كله إلى المجاز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ولنقف مع العلاقة بين النحو والمعنى: كان توجيهات ابن جني للشواهد تنبض بالشروح،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وتستظل بالمعاني، فقد ألح على عقد أواصر متينة بين النحو والمعنى في كل ما يعرض له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من آراء وتوجيهات، وذلك من خلال إنعامه النظر في الفروق الدقيقة التي تميز القراءة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الشاذة من القراءة المشهورة أو التي تميز القراءة القرآنية عمومًا من الأساليب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الأخرى حتى بدا يريد أن يثبت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أن النحو معني قبل كل شيء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ومن أقواله في بعض المواضع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فهذا أمر الإعراب فيه تابع لمعناه، ومحدد على الغرض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المراد فيه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ولعلنا لا نزيد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في هذا على ما قيل في أبي الفتح، ولكننا نريد أن نؤكد أن الخلاف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بين القراءات عنده لم يكن إلا خلافًا بين المعاني الدقيقة التي يدركها أمثاله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ولعل مثالًا واحدًا يكفي للوقوف على هذه الظاهرة، وهو موقفه من قراءة الأعرج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189" w:hAnsi="QCF_P189" w:cs="QCF_P189"/>
          <w:b/>
          <w:bCs/>
          <w:sz w:val="18"/>
          <w:szCs w:val="18"/>
          <w:rtl/>
        </w:rPr>
        <w:t xml:space="preserve">ﭑ ﭒ ﭓ ﭔ ﭕ ﭖ ﭗ ﭘ ﭙ ﭚ ﭛ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8C1694">
        <w:rPr>
          <w:rFonts w:ascii="QCF_P189" w:hAnsi="QCF_P189" w:cs="QCF_P189"/>
          <w:b/>
          <w:bCs/>
          <w:sz w:val="18"/>
          <w:szCs w:val="18"/>
          <w:rtl/>
        </w:rPr>
        <w:t>ﭝ ﭞ ﭟ ﭠ ﭡ ﭢ ﭣ ﭤ ﭥ</w:t>
      </w:r>
      <w:r w:rsidRPr="008C1694">
        <w:rPr>
          <w:rFonts w:ascii="QCF_P189" w:hAnsi="QCF_P189" w:cs="DecoType Thuluth"/>
          <w:b/>
          <w:bCs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التوبة: 14، 15] قال: إذا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نصب فالتوبة داخلة في جواب الشرط، وإذا رفع كقراءة الجماعة فهو استئناف، والوجه قراءة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الجماعة على الاستئناف؛ لأنه تم الكلام على قوله تعالى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189" w:hAnsi="QCF_P189" w:cs="QCF_P189"/>
          <w:b/>
          <w:bCs/>
          <w:sz w:val="18"/>
          <w:szCs w:val="18"/>
          <w:rtl/>
        </w:rPr>
        <w:t>ﭝ ﭞ ﭟ</w:t>
      </w:r>
      <w:r w:rsidRPr="008C1694">
        <w:rPr>
          <w:rFonts w:ascii="QCF_P189" w:hAnsi="QCF_P189" w:cs="DecoType Thuluth"/>
          <w:b/>
          <w:bCs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ثم استأنف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فقال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189" w:hAnsi="QCF_P189" w:cs="QCF_P189"/>
          <w:b/>
          <w:bCs/>
          <w:sz w:val="18"/>
          <w:szCs w:val="18"/>
          <w:rtl/>
        </w:rPr>
        <w:t>ﭡ ﭢ ﭣ ﭤ ﭥ</w:t>
      </w:r>
      <w:r w:rsidRPr="008C1694">
        <w:rPr>
          <w:rFonts w:ascii="QCF_P189" w:hAnsi="QCF_P189" w:cs="DecoType Thuluth"/>
          <w:b/>
          <w:bCs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فالتوبة منه </w:t>
      </w:r>
      <w:r w:rsidRPr="008C1694">
        <w:rPr>
          <w:rFonts w:ascii="AGA Arabesque" w:hAnsi="AGA Arabesque" w:cs="Simplified Arabic"/>
          <w:b/>
          <w:bCs/>
          <w:position w:val="-4"/>
          <w:sz w:val="18"/>
          <w:szCs w:val="18"/>
        </w:rPr>
        <w:t>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على من يشاء ليست مسببة عن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قتالهم، هذا هو الظاهر، وأن هذه حال موجودة من الله </w:t>
      </w:r>
      <w:r w:rsidRPr="008C1694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8C1694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قاتلوهم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أو لم يقاتلوهم، فلا وجه لتعليقها بقتالهم، فإن ذهبت تعلق هذه التوبة بقتالهم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إياهم؛ كان فيه ضرب من التعسف بالمعنى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أيضًا نتكلم عن الإيجاز والاستطراد عند ابن جني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كان ابن جني يستهل توجيهه عادة بتقرير الوجه النحوي تقريرًا عامًّا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ثم يشرع بتحليله وشرحه، وهو غالبًا ما يقدم لذلك بحديث شامل عن القراءة المشهورة؛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لاعتقاده بأن في هذا التقديم ما يخدم الغرض، ويساعد على الوصول إلى وجه القراءة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الشاذة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نذكر من ذلك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تقديمه لقراءة علي بن أبي طالب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260" w:hAnsi="QCF_P260" w:cs="QCF_P260"/>
          <w:b/>
          <w:bCs/>
          <w:sz w:val="18"/>
          <w:szCs w:val="18"/>
          <w:rtl/>
        </w:rPr>
        <w:t>ﮒ ﮓ ﮔ ﮕ ﮖ ﮗ</w:t>
      </w:r>
      <w:r w:rsidRPr="008C1694">
        <w:rPr>
          <w:rFonts w:ascii="QCF_P260" w:hAnsi="QCF_P260" w:cs="DecoType Thuluth"/>
          <w:b/>
          <w:bCs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إبراهيم: 37] قال أما قراءة الجماعة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260" w:hAnsi="QCF_P260" w:cs="QCF_P260"/>
          <w:b/>
          <w:bCs/>
          <w:sz w:val="18"/>
          <w:szCs w:val="18"/>
          <w:rtl/>
        </w:rPr>
        <w:t>ﮖ ﮗ</w:t>
      </w:r>
      <w:r w:rsidRPr="008C1694">
        <w:rPr>
          <w:rFonts w:ascii="QCF_P260" w:hAnsi="QCF_P260" w:cs="DecoType Thuluth"/>
          <w:b/>
          <w:bCs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بكسر الواو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تهوِي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فتميل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إليهم أي: تحبهم، فهذا في المعنى كقولهم: فلان ينحط في هواك؛ أي يخلد إليه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وقد يبدأ توجيهه بحديث صرفي أو لغوي، وبعد أن يفعل ذلك يشرح الوجه، ويبين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معناه أو يمثل له أو يحتج له بالقرآن أو الشعر أو أقوال العرب، وهو يولي القرآن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الكريم عناية خاصة، ويعتمد عليه اعتمادًا كبيرًا، ويقدمه على الشعر أو غيره،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ولكنه قد يحتج به أولًا ثم يثني بالشعر ثم يعود إليه مستوثقًا مرة أخرى، وقد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يبدأ احتجاجه بالشعر، ثم يعطف عليه آية قرآنية ثم قولًا من أقوال العرب، ثم يعود إلى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الشعر، ولكن هذا نادر جدًّا.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وقد يلجأ إلى القياس، فيقيس وجه القراءة على أسلوب آخر ثم ما يلبث أن يبتعد قليلًا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أو كثيرًا إلى أقيسة أخرى تجري رحاها بين الشواهد، أو يمكث بعيدًا فيشرح معانيها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ويجري بينها بعض المقارنات؛ لتوضيح الفروق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وهو يكثر من الشواهد أحيانًا، ولا سيما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إذا آنس حاجة إلى مزيد من الإقناع، ولكن السمة الغالبة عليه حب الإيجاز والاختصار،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ولا سيما إذا كان الوجه مطردًا،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وقد أكثر من القول في وجوه القراءات وأمثلتها،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وهو كثير، وهو كثير جدًّا، وما أكثر هذا! وهذا أكثر من أن يحصى، وما أكثر هذا في القرآن وفصيح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الكلام! والأثر فيه أوسع، وهو فاش، ولهذا نظائر كثيرة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كما أنه أكثر من الإحاطة على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كتبه الأخرى مذكرًا أن هذا الجانب قد أولى فضل قول وعناية هناك، ففي حديثه عن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التضمين في توجيه إحدى الشواذ، عقب على ذلك بقوله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وقد أفردنا لهذا ونحوه في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الخصائص)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بابًا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وفي حديثه عن القراءات الأخرى أحال على كتابه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المنصف) وعلى (سر الصناعة)، وعلى كتابه (التنبيه في تفسير مشكل أبيات الحماسة) وعلى كتب أخرى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لم يسمها، وقد فعل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كهذا في مواضع كثيرة؛ حرصًا منه على بيان حقيقة الوجه الذي يذهب إليه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وإشفاقًا على القارئ من الملل، فهو لا يريد أن يكون كتابه مطولًا كما كان كتاب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أستاذه الفارسي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قال مرة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لكنا نحذف الإطالة؛ إذ كان هذا كتابًا مختصرًا؛ ليقرب على القراءة، ولا يلطف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عنهم، وقد كان شيخنا أبو علي عمل كتاب (الحجة في القراءات السبع) فأغمضه وأطاله حتى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منع كثيرًا ممن يدعي العربية فضلًا عن القراءة منه، وأجفاهم عنه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على أننا وإن وجدناه يلمح على فكرة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الإيجاز لم نعدم عنده الكثير من المناسبات التي يرخي فيها العنان لقلمه، فيصول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ويجول، ويسترسل في عرض معارفه اللغوية، والصرفية والنحوية، ويقتاد القياس،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ويدير المناقشات والمحاكمات، ويبسط العلل الذاخرة، حتى نكاد نجد أنفسنا نتابع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موضوعات لا تتصل بوجه القراءة إلا بسبب ضعيف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2"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ونورد على ذلك مثالًا واحدًا: فقد ذهب أبو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الفتح في قراءة عبد الله بن يزيد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1694">
        <w:rPr>
          <w:rFonts w:ascii="QCF_P204" w:hAnsi="QCF_P204" w:cs="QCF_P204"/>
          <w:b/>
          <w:bCs/>
          <w:sz w:val="18"/>
          <w:szCs w:val="18"/>
          <w:rtl/>
        </w:rPr>
        <w:t xml:space="preserve">ﭱ ﭲ ﭳ ﭴ ﭵ ﭶ ﭷ ﭸ ﭹ ﭺ ﭻ ﭼ ﭽ ﭾ ﭿ ﮀ </w:t>
      </w:r>
      <w:r w:rsidRPr="008C1694">
        <w:rPr>
          <w:rFonts w:ascii="QCF_P204" w:hAnsi="QCF_P204" w:cs="QCF_P204"/>
          <w:b/>
          <w:bCs/>
          <w:spacing w:val="2"/>
          <w:sz w:val="18"/>
          <w:szCs w:val="18"/>
          <w:rtl/>
        </w:rPr>
        <w:t>ﮁ ﮂ</w:t>
      </w:r>
      <w:r w:rsidRPr="008C1694">
        <w:rPr>
          <w:rFonts w:ascii="QCF_P204" w:hAnsi="QCF_P204" w:cs="DecoType Thuluth"/>
          <w:b/>
          <w:bCs/>
          <w:spacing w:val="2"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[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التوبة: 108]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ذهب إلى أن أصل حركة هذه الهاء هو الضم، وأن كسرها بعد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كسرة أو ياء ساكنة جائز، وكذا جمع الضمة مع الكسرة، وأن القارئ لو كسرها جميعًا أو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ضمها لكان جميلًا حسنًا، ثم راح يبحث عن علة هذه المخالفة بين فيه وفي، فوجد أن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الابتعاد عن التكرار في اللفظ هو الذي سوغ ذلك،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وأن مثل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ذلك عنده مثل ابتعادهم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عن تكرار اللفظ بعينه في ألفاظ التوكيد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2"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ولكن ابن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جني لم يكتف بذلك، بل انتقل إلى البحث في هذه الألفاظ نفسها، وراح يحتج لها ويقيس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عليها، يقول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ومما يدلك على قوة الكلفة عليهم أنهم لما أصاغوا ألفاظ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lastRenderedPageBreak/>
        <w:t>التوكيد لم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يرددها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بأعيانها، وذلك كقولهم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جاءني القوم أجمعون أكتعون أصبعون،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فخالفوا بين الحروف، لكن أعانوا حرفًا واحدًا منها تنبيهًا على عنايتهم، وإعلانهم أنه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موضع يختارون تجشم التكريم من أجله، وجعلوا الحرف المعاد منه لامه؛ لأنه مقطع، والعناية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بالمقاطع أقوى منها بمدرج الألفاظ،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ألا تراهم يتمسحون بحشو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البيت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في اختلافه، فإذا وصلوا إلى القافية راعوا ووقفوا بين أحكامها؛ أعني في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الروي والوصل والخروج والردف، والتأسيس، والحركة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وسبب ذلك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أنه مقطع، والمعمول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في أكثر الأمر عليه، ومنه إجماع الناس في الدعاء على أن يقولوا: اختم بخير. ومنه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قوله سبحانه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8C1694">
        <w:rPr>
          <w:rFonts w:ascii="QCF_P588" w:hAnsi="QCF_P588" w:cs="QCF_P588"/>
          <w:b/>
          <w:bCs/>
          <w:spacing w:val="-4"/>
          <w:sz w:val="18"/>
          <w:szCs w:val="18"/>
          <w:rtl/>
        </w:rPr>
        <w:t>ﯟ ﯠ</w:t>
      </w:r>
      <w:r w:rsidRPr="008C1694">
        <w:rPr>
          <w:rFonts w:ascii="QCF_P588" w:hAnsi="QCF_P588" w:cs="DecoType Thuluth"/>
          <w:b/>
          <w:bCs/>
          <w:spacing w:val="-4"/>
          <w:sz w:val="18"/>
          <w:szCs w:val="18"/>
          <w:rtl/>
        </w:rPr>
        <w:t>}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المطففين: 26]</w:t>
      </w:r>
      <w:r w:rsidRPr="008C1694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وخلاصة القول أن ابن جني كان يستطرد في التوجيهات أحيانًا، ولكن استطراده كما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رأينا كان استرسالًا عذبا لا يقطع الصلة تمام، وهو كثير ما يسوق خلال هذا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الاسترسال أو التوجيه بعض أصوله النحوية المعروفة، وذلك كقوله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الأخبار توصف، لكن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الصفات عندنا لا توصف، والصفة مع موصوفها كالجزء الواحد،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</w:rPr>
        <w:t>والحال ضرب من الخبر</w:t>
      </w:r>
      <w:r w:rsidRPr="008C169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2"/>
          <w:sz w:val="18"/>
          <w:szCs w:val="18"/>
          <w:lang w:bidi="ar-EG"/>
        </w:rPr>
      </w:pP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وأيضًا كقوله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واعلم أن الصفات لا تتساوى أحوالها في قيامها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مقام موصوفاتها، بل بعضها في ذلك أحسن من بعض، فمتى دلت الصفة على موصوفها حسن إقامتها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مقامه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"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وهي أقوال كثيرة، وهو لا يفتأ بذكر بعض أصوله في النظر إلى اللغة، كأن يقول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في بعض الاستعمالات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: "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شاذ في الاستعمال، قوي في القياس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"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"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شاذ في القياس والاستعمال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"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وغير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ذلك من العبارات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التي انضوى تحت نظريته المعروفة في كتابه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(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الخصائص) باب القول على الاطراد والشذوذ</w:t>
      </w:r>
      <w:r w:rsidRPr="008C1694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.</w:t>
      </w:r>
    </w:p>
    <w:p w:rsidR="008C1694" w:rsidRPr="008C1694" w:rsidRDefault="008C1694" w:rsidP="008C1694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8C1694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C1694" w:rsidRPr="008C1694" w:rsidRDefault="008C1694" w:rsidP="008C1694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(مرشد الأعزة في بيان موقف العلماء من القراءات الشاذة)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C1694" w:rsidRPr="008C1694" w:rsidRDefault="008C1694" w:rsidP="008C1694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C1694" w:rsidRPr="008C1694" w:rsidRDefault="008C1694" w:rsidP="008C1694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C1694" w:rsidRPr="008C1694" w:rsidRDefault="008C1694" w:rsidP="008C169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C1694" w:rsidRPr="008C1694" w:rsidRDefault="008C1694" w:rsidP="008C1694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C1694" w:rsidRPr="008C1694" w:rsidRDefault="008C1694" w:rsidP="008C1694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C1694" w:rsidRPr="008C1694" w:rsidRDefault="008C1694" w:rsidP="008C169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C1694" w:rsidRPr="008C1694" w:rsidRDefault="008C1694" w:rsidP="008C1694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C169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C1694" w:rsidRDefault="008C1694" w:rsidP="008C1694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8C1694" w:rsidSect="008C1694">
          <w:type w:val="continuous"/>
          <w:pgSz w:w="11906" w:h="16838"/>
          <w:pgMar w:top="1440" w:right="707" w:bottom="1440" w:left="1800" w:header="708" w:footer="708" w:gutter="0"/>
          <w:cols w:num="2" w:space="708"/>
          <w:bidi/>
          <w:rtlGutter/>
          <w:docGrid w:linePitch="360"/>
        </w:sectPr>
      </w:pPr>
    </w:p>
    <w:p w:rsidR="008C1694" w:rsidRPr="008C1694" w:rsidRDefault="008C1694" w:rsidP="008C1694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8C1694" w:rsidRPr="008C1694" w:rsidSect="008C1694">
      <w:type w:val="continuous"/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1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1694"/>
    <w:rsid w:val="001A2769"/>
    <w:rsid w:val="004168A0"/>
    <w:rsid w:val="004219C3"/>
    <w:rsid w:val="004A286F"/>
    <w:rsid w:val="008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16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6780</Characters>
  <Application>Microsoft Office Word</Application>
  <DocSecurity>0</DocSecurity>
  <Lines>56</Lines>
  <Paragraphs>15</Paragraphs>
  <ScaleCrop>false</ScaleCrop>
  <Company>Fannan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2013-06-16T15:33:00Z</dcterms:created>
  <dcterms:modified xsi:type="dcterms:W3CDTF">2013-06-16T15:40:00Z</dcterms:modified>
</cp:coreProperties>
</file>