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Pr="00ED62AF" w:rsidRDefault="00ED62AF" w:rsidP="00ED62AF">
      <w:pPr>
        <w:spacing w:after="0" w:line="240" w:lineRule="auto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ED62AF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الاحتجاج بالقراءات الشاذة في علم البلاغة</w:t>
      </w:r>
    </w:p>
    <w:p w:rsidR="00ED62AF" w:rsidRPr="00ED62AF" w:rsidRDefault="00ED62AF" w:rsidP="00ED62AF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  <w:lang w:bidi="ar-EG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مبحث فى </w:t>
      </w:r>
      <w:r w:rsidRPr="00ED62AF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علم </w:t>
      </w:r>
      <w:r w:rsidRPr="00ED62AF">
        <w:rPr>
          <w:rFonts w:asciiTheme="majorBidi" w:eastAsia="Calibri" w:hAnsiTheme="majorBidi" w:cstheme="majorBidi" w:hint="cs"/>
          <w:b/>
          <w:bCs/>
          <w:sz w:val="18"/>
          <w:szCs w:val="18"/>
          <w:rtl/>
          <w:lang w:bidi="ar-EG"/>
        </w:rPr>
        <w:t>القراءات الشاذه</w:t>
      </w:r>
    </w:p>
    <w:p w:rsidR="00ED62AF" w:rsidRPr="00ED62AF" w:rsidRDefault="00ED62AF" w:rsidP="00ED62A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إعداد / أحمد محمد سمير</w:t>
      </w:r>
    </w:p>
    <w:p w:rsidR="00ED62AF" w:rsidRPr="00ED62AF" w:rsidRDefault="00ED62AF" w:rsidP="00ED62A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قسم الدعوة وأصول الدين</w:t>
      </w:r>
    </w:p>
    <w:p w:rsidR="00ED62AF" w:rsidRPr="00ED62AF" w:rsidRDefault="00ED62AF" w:rsidP="00ED62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كلية العلوم الإسلامية – جامعة المدينة العالمية</w:t>
      </w:r>
    </w:p>
    <w:p w:rsidR="00ED62AF" w:rsidRPr="00ED62AF" w:rsidRDefault="00ED62AF" w:rsidP="00ED62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شاه علم - ماليزيا</w:t>
      </w:r>
    </w:p>
    <w:p w:rsidR="00ED62AF" w:rsidRDefault="00ED62AF" w:rsidP="00ED62AF">
      <w:pPr>
        <w:tabs>
          <w:tab w:val="left" w:pos="405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sectPr w:rsidR="00ED62AF" w:rsidSect="00ED62AF">
          <w:pgSz w:w="11906" w:h="16838"/>
          <w:pgMar w:top="1440" w:right="566" w:bottom="1440" w:left="1800" w:header="708" w:footer="708" w:gutter="0"/>
          <w:cols w:space="708"/>
          <w:bidi/>
          <w:rtlGutter/>
          <w:docGrid w:linePitch="360"/>
        </w:sectPr>
      </w:pPr>
      <w:hyperlink r:id="rId5" w:history="1">
        <w:r w:rsidRPr="00ED62AF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Ahmedmsamir54@gmail.com</w:t>
        </w:r>
      </w:hyperlink>
    </w:p>
    <w:p w:rsidR="00ED62AF" w:rsidRPr="00ED62AF" w:rsidRDefault="00ED62AF" w:rsidP="00ED62AF">
      <w:pPr>
        <w:tabs>
          <w:tab w:val="left" w:pos="405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ED62AF" w:rsidRPr="00ED62AF" w:rsidRDefault="00ED62AF" w:rsidP="00ED62AF">
      <w:pPr>
        <w:tabs>
          <w:tab w:val="left" w:pos="405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ED62AF" w:rsidRPr="00ED62AF" w:rsidRDefault="00ED62AF" w:rsidP="00ED62AF">
      <w:pPr>
        <w:spacing w:before="240"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الخلاصة – هذا البحث يبحث فى </w:t>
      </w:r>
      <w:r w:rsidRPr="00ED62AF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الاحتجاج بالقراءات الشاذة في علم البلاغة</w:t>
      </w:r>
    </w:p>
    <w:p w:rsidR="00ED62AF" w:rsidRPr="00ED62AF" w:rsidRDefault="00ED62AF" w:rsidP="00ED62AF">
      <w:pPr>
        <w:spacing w:before="24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ED62AF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ED62AF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البلاغه، الكتب، الخاصه</w:t>
      </w:r>
    </w:p>
    <w:p w:rsidR="00ED62AF" w:rsidRPr="00ED62AF" w:rsidRDefault="00ED62AF" w:rsidP="00ED62AF">
      <w:pPr>
        <w:numPr>
          <w:ilvl w:val="0"/>
          <w:numId w:val="2"/>
        </w:numPr>
        <w:spacing w:before="24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ED62AF" w:rsidRPr="00ED62AF" w:rsidRDefault="00ED62AF" w:rsidP="00ED62AF">
      <w:pPr>
        <w:spacing w:before="240"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ED62AF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الاحتجاج بالقراءات الشاذة في علم البلاغة</w:t>
      </w:r>
    </w:p>
    <w:p w:rsidR="00ED62AF" w:rsidRPr="00ED62AF" w:rsidRDefault="00ED62AF" w:rsidP="00ED62AF">
      <w:pPr>
        <w:numPr>
          <w:ilvl w:val="0"/>
          <w:numId w:val="3"/>
        </w:numPr>
        <w:spacing w:before="240"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بقي لنا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أن نبين الاحتجاج بالقراءات الشاذة في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علم البلاغة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نقول: المتتبع للكتب الخاصة بالاحتجاج بالقراءات الشاذة؛ كـ(المحتسب) الذي بينا منهج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ابن جني فيه يلمح فيه مواضع من قبول الشاذ قبولًا بلاغيًّا، وإثبات الفصاحة له، وإثبات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بعض الأسرار البلاغية، بل لقد قال ابن جني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ولعله </w:t>
      </w:r>
      <w:r w:rsidRPr="00ED62AF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أي: الشاذ</w:t>
      </w:r>
      <w:r w:rsidRPr="00ED62AF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أو كثير منه مساوٍ في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الفصاحة للمجتمع عليه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نعم، وربما كان فيه ما تلطف صنعته، وتفيض بغيره فصاحته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وأكد ابن جني أن العدول عنه ليس غضًّا منه ولا تهمة له، وكيف، وهو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مروي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مرفوع حبيب الله </w:t>
      </w:r>
      <w:r w:rsidRPr="00ED62AF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تعالى</w:t>
      </w:r>
      <w:r w:rsidRPr="00ED62AF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مأمور به بتقبله، والعمل بموجبه، وإنه وإن كان فيه ما ضعف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إعرابه، ففي السبع الفصل بين المتضايفين، وهمزة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برآء، ومع ذلك مأخوذ به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والآن لنضرب الأمثلة التي تبين لنا الاحتجاج بالقراءات الشاذة في علم البلاغة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ذلك: قراءة عبد الله بن عباس </w:t>
      </w:r>
      <w:r w:rsidRPr="00ED62AF">
        <w:rPr>
          <w:rFonts w:cs="SC_ALYERMOOK" w:hint="cs"/>
          <w:b/>
          <w:bCs/>
          <w:position w:val="-4"/>
          <w:sz w:val="18"/>
          <w:szCs w:val="18"/>
          <w:rtl/>
        </w:rPr>
        <w:t>{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الدالة على الاستفهام في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مَن فرعون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بفتح ميم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وضم نون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فرعون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لقوله تعالى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ولقد نجينا بني إسرائيل من العذاب المهين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مَن فرعونُ إنه كان عاليا من المسرفين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والمراد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من الاستفهام ههنا أنه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لما وصف العذاب بالشدة والفظاعة زاده تهويلًا بقوله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مَن فرعون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على معنى: هل تعرفون من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هو فرعون في فرط عتوه وغاية تجبره؟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فما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ظنكم بعذاب يكون هو المعذب به، فلذلك قال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إنه كان عاليًا من المسرفين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قلت: وهذا التحقير مثلما يقال لمن افتخر بحسبه ونسبه: من أنت؟ تحقيرًا له وتصغيرًا من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شأنه، وقيل: لتحقير فرعون بجعله غير معلوم يستفهم عنه، كالنكرة؛ لما فيه من القبائح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التي لم يعد مثلها،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وما بعد يناسب ما قبل كما لا يخفى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وهذا الموضع من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الأمثلة النادرة التي اهتبلها البلاغيون، وأشاروا إليها في اختلاف المعاني القرائية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وأيضًا من الأساليب البلاغية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التي يستشهد لها من القراءات ما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وراء العشر نظم الأسلوب، وعلاقته بإرادة ناظمه تحويل الفضلة إلى عمدة لشدة العناية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بها، وهذا حكم بلاغي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يحتج له ويثبت بقراءة يزيد البربري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وعُلّم آدم الأسماءَ كلها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وقد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لاحظ بعض العلماء هذا الملحظ، وأدركوه إدراكًا دقيقًا، فابن جني عند قراءة يزيد البربري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وعلم آدم الأسماء كلها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بضم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العين من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علم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على البناء لما لم يسم فاعله، ورفع الميم من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آدم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وعلم آدمُ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يرى أن بناء الفعل للمفعول دليل على قوة العناية به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فهو يقول: فإذا ثبت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بهذا كله قوة عنايتهم بالفضلة حتى ألغوا حديث الفاعل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معها، وبنوا الفعل لمفعوله،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فقالوا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ضرب زيد حسن. قوله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وعُلّم آدمُ الأسماءَ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كلها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لما كان الغرض فيه أنه قد عرفها وعلمها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وأنس إليها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علم المخاطبين بأن الله </w:t>
      </w:r>
      <w:r w:rsidRPr="00ED62AF">
        <w:rPr>
          <w:rFonts w:ascii="AGA Arabesque" w:hAnsi="AGA Arabesque" w:cs="Simplified Arabic"/>
          <w:b/>
          <w:bCs/>
          <w:spacing w:val="-4"/>
          <w:position w:val="-4"/>
          <w:sz w:val="18"/>
          <w:szCs w:val="18"/>
        </w:rPr>
        <w:t>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هو الذي علمه إياها بقراءة من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قرأ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ED62AF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ED62AF">
        <w:rPr>
          <w:rFonts w:ascii="QCF_P006" w:hAnsi="QCF_P006" w:cs="QCF_P006"/>
          <w:b/>
          <w:bCs/>
          <w:spacing w:val="-4"/>
          <w:sz w:val="18"/>
          <w:szCs w:val="18"/>
          <w:rtl/>
        </w:rPr>
        <w:t>ﭰ ﭱ ﭲ ﭳ</w:t>
      </w:r>
      <w:r w:rsidRPr="00ED62AF">
        <w:rPr>
          <w:rFonts w:ascii="QCF_P006" w:hAnsi="QCF_P006" w:cs="DecoType Thuluth"/>
          <w:b/>
          <w:bCs/>
          <w:spacing w:val="-4"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البقرة: 31] ونحوه قوله تعالى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ED62AF">
        <w:rPr>
          <w:rFonts w:ascii="QCF_P569" w:hAnsi="QCF_P569" w:cs="QCF_P569"/>
          <w:b/>
          <w:bCs/>
          <w:spacing w:val="-4"/>
          <w:sz w:val="18"/>
          <w:szCs w:val="18"/>
          <w:rtl/>
        </w:rPr>
        <w:t xml:space="preserve"> ﭻ ﭼ ﭽ ﭾ</w:t>
      </w:r>
      <w:r w:rsidRPr="00ED62AF">
        <w:rPr>
          <w:rFonts w:ascii="QCF_P569" w:hAnsi="QCF_P569" w:cs="DecoType Thuluth"/>
          <w:b/>
          <w:bCs/>
          <w:spacing w:val="-4"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المعارج: 19]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وقوله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ED62AF">
        <w:rPr>
          <w:rFonts w:ascii="QCF_P083" w:hAnsi="QCF_P083" w:cs="QCF_P083"/>
          <w:b/>
          <w:bCs/>
          <w:spacing w:val="-4"/>
          <w:sz w:val="18"/>
          <w:szCs w:val="18"/>
          <w:rtl/>
        </w:rPr>
        <w:t>ﭥ ﭦ ﭧ</w:t>
      </w:r>
      <w:r w:rsidRPr="00ED62AF">
        <w:rPr>
          <w:rFonts w:ascii="QCF_P083" w:hAnsi="QCF_P083" w:cs="DecoType Thuluth"/>
          <w:b/>
          <w:bCs/>
          <w:spacing w:val="-4"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النساء: 28] هذا مع قوله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ED62AF">
        <w:rPr>
          <w:rFonts w:ascii="QCF_P597" w:hAnsi="QCF_P597" w:cs="QCF_P597"/>
          <w:b/>
          <w:bCs/>
          <w:spacing w:val="-4"/>
          <w:sz w:val="18"/>
          <w:szCs w:val="18"/>
          <w:rtl/>
        </w:rPr>
        <w:t>ﮁ ﮂ ﮃ ﮄ</w:t>
      </w:r>
      <w:r w:rsidRPr="00ED62AF">
        <w:rPr>
          <w:rFonts w:ascii="QCF_P597" w:hAnsi="QCF_P597" w:cs="DecoType Thuluth"/>
          <w:b/>
          <w:bCs/>
          <w:spacing w:val="-4"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العلق: 2] وقال سبحانه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ED62AF">
        <w:rPr>
          <w:rFonts w:ascii="QCF_P531" w:hAnsi="QCF_P531" w:cs="QCF_P531"/>
          <w:b/>
          <w:bCs/>
          <w:spacing w:val="-4"/>
          <w:sz w:val="18"/>
          <w:szCs w:val="18"/>
          <w:rtl/>
        </w:rPr>
        <w:t xml:space="preserve">ﭼ ﭽ </w:t>
      </w:r>
      <w:r w:rsidRPr="00ED62AF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* </w:t>
      </w:r>
      <w:r w:rsidRPr="00ED62AF">
        <w:rPr>
          <w:rFonts w:ascii="QCF_P531" w:hAnsi="QCF_P531" w:cs="QCF_P531"/>
          <w:b/>
          <w:bCs/>
          <w:spacing w:val="-4"/>
          <w:sz w:val="18"/>
          <w:szCs w:val="18"/>
          <w:rtl/>
        </w:rPr>
        <w:t>ﭿ ﮀ</w:t>
      </w:r>
      <w:r w:rsidRPr="00ED62AF">
        <w:rPr>
          <w:rFonts w:ascii="QCF_P531" w:hAnsi="QCF_P531" w:cs="DecoType Thuluth"/>
          <w:b/>
          <w:bCs/>
          <w:spacing w:val="-4"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الرحمن: 3، 4] وقال تبارك اسمه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ED62AF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ED62AF">
        <w:rPr>
          <w:rFonts w:ascii="QCF_P531" w:hAnsi="QCF_P531" w:cs="QCF_P531"/>
          <w:b/>
          <w:bCs/>
          <w:spacing w:val="-4"/>
          <w:sz w:val="18"/>
          <w:szCs w:val="18"/>
          <w:rtl/>
        </w:rPr>
        <w:t>ﮯ</w:t>
      </w:r>
      <w:r w:rsidRPr="00ED62AF">
        <w:rPr>
          <w:rFonts w:ascii="QCF_P531" w:hAnsi="QCF_P531" w:cs="QCF_P531"/>
          <w:b/>
          <w:bCs/>
          <w:sz w:val="18"/>
          <w:szCs w:val="18"/>
          <w:rtl/>
        </w:rPr>
        <w:t xml:space="preserve"> ﮰ ﮱ ﯓ ﯔ</w:t>
      </w:r>
      <w:r w:rsidRPr="00ED62AF">
        <w:rPr>
          <w:rFonts w:ascii="QCF_P531" w:hAnsi="QCF_P531" w:cs="DecoType Thuluth"/>
          <w:b/>
          <w:bCs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الرحمن: 14]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lowKashida"/>
        <w:rPr>
          <w:rFonts w:ascii="Simplified Arabic" w:hAnsi="Simplified Arabic" w:cs="AL-Hotham"/>
          <w:b/>
          <w:bCs/>
          <w:spacing w:val="4"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ولكن المعتاد لدى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البلاغيين أن يتكلموا عن أسرار حذف الفاعل، وعن أوضاع المفعول به تدل على الاهتمام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به، لا تجد فيها تحويله إلى عمدة، وإذا وصلت في كتبهم إلى كلام عن بناء الفعل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للمفعول وجدت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من أسرار حذف الفاعل أو حذف المسند إليه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Traditional Arabic"/>
          <w:b/>
          <w:bCs/>
          <w:spacing w:val="4"/>
          <w:sz w:val="18"/>
          <w:szCs w:val="18"/>
          <w:rtl/>
          <w:lang w:bidi="ar-EG"/>
        </w:rPr>
        <w:t>-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بعبارة أخرى</w:t>
      </w:r>
      <w:r w:rsidRPr="00ED62AF">
        <w:rPr>
          <w:rFonts w:ascii="Simplified Arabic" w:hAnsi="Simplified Arabic" w:cs="Traditional Arabic"/>
          <w:b/>
          <w:bCs/>
          <w:spacing w:val="4"/>
          <w:sz w:val="18"/>
          <w:szCs w:val="18"/>
          <w:rtl/>
          <w:lang w:bidi="ar-EG"/>
        </w:rPr>
        <w:t>-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ما اكتفي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فيه بأن يقال قولهم: ضرب زيد، الغرض منه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أن يعلم أنه منصوب، وليس الغرض أن يعلم من الذي ضربه،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فكأنما السر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البلاغي في تحقيق مثل ذلك، الغرض فقط، مع أن الغرض والسر في ذلك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الحذف أو في ذلك التحويل وتصيير الفضلة عمدة،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وأن يعلم أن آدم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SC_ALYERMOOK"/>
          <w:b/>
          <w:bCs/>
          <w:spacing w:val="4"/>
          <w:position w:val="-4"/>
          <w:sz w:val="18"/>
          <w:szCs w:val="18"/>
          <w:rtl/>
          <w:lang w:bidi="ar-EG"/>
        </w:rPr>
        <w:t>#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معلم معتنى به عناية شديدة، وهذا ما ألمحه ابن جني في كلامه السالف الذكر</w:t>
      </w:r>
      <w:r w:rsidRPr="00ED62AF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. 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أضف إلى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ذلك أن البلاغيين كأنما يصرفونك صرفًا عن الفاعل؛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؛ إذ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لا يذكرون لك شيئًا مهمًّا عنه، فإنهم يلفتونك إلى تعلق الغرض بالمفعول فقط،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وأنه منفعل، وهذا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حد يقف البلاغي عنده، فيظلم المقام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وتحتجب عنه بقية الأسرار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أما شرح ابن جني لقراءة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وعُلّم آدمُ الأسماءَ كلها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فإنه لم يكتف بذلك، بل إنه مع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إبراز العناية بالمفعول به اعتنى بشأن الفاعل، ومن الأساليب البلاغية التي يحتج لها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بالقراءات الشاذة: تعدد معنى التنكير بين القليل وإرادة الجنس، كما يستدعى التعريف بـ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أل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معنى العهد الذهني والتعظيم، ويظهر ذلك جليًّا فيما ذكره ابن جني من ملامح بلاغية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في قراءة الحسن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اهدنا صراطًا مستقيمًا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من قوله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ED62AF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ED62AF">
        <w:rPr>
          <w:rFonts w:ascii="QCF_P001" w:hAnsi="QCF_P001" w:cs="QCF_P001"/>
          <w:b/>
          <w:bCs/>
          <w:sz w:val="18"/>
          <w:szCs w:val="18"/>
          <w:rtl/>
        </w:rPr>
        <w:t>ﭧ ﭨ ﭩ</w:t>
      </w:r>
      <w:r w:rsidRPr="00ED62AF">
        <w:rPr>
          <w:rFonts w:ascii="QCF_P001" w:hAnsi="QCF_P001" w:cs="DecoType Thuluth"/>
          <w:b/>
          <w:bCs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الفاتحة: 6]؛ إذ يقول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ينبغي أن يكون أراد </w:t>
      </w:r>
      <w:r w:rsidRPr="00ED62AF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والله أعلم</w:t>
      </w:r>
      <w:r w:rsidRPr="00ED62AF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التذلل لله، وإظهار الطاعة له؛ أي قد رضينا منك يا ربنا بما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يقال له صراط مستقيم، ولسنا نريد المبالغة في قول من قرأ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ED62AF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ED62AF">
        <w:rPr>
          <w:rFonts w:ascii="QCF_P001" w:hAnsi="QCF_P001" w:cs="QCF_P001"/>
          <w:b/>
          <w:bCs/>
          <w:sz w:val="18"/>
          <w:szCs w:val="18"/>
          <w:rtl/>
        </w:rPr>
        <w:t>ﭨ ﭩ</w:t>
      </w:r>
      <w:r w:rsidRPr="00ED62AF">
        <w:rPr>
          <w:rFonts w:ascii="QCF_P001" w:hAnsi="QCF_P001" w:cs="DecoType Thuluth"/>
          <w:b/>
          <w:bCs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أي: الصراط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التي قد شاعت استقامته، وتعولمت في حاله وطريقته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فإن قيل: هذا منك لنا ذاك عندنا، وكثير من نعمتك علينا، ونحن له مطيعون، وإلى ما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تأمر به وتنهى فيه صائرون،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وزاد فيه حسن التنكير هنا ما دخله من المعنى، وذلك لأن تقديره أدم هدايتك لنا، فإنك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إذا فعلت ذلك بنا فقد اهتدينا إلى صراط مستقيم، فجرى حينئذ مجرى قولك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لئن لقيت رسول الله </w:t>
      </w:r>
      <w:r w:rsidRPr="00ED62AF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لتلقين منه رجلًا متناهيًا في الخير، ورسولًا جامعًا في الفضل، فقد آلت به الحال إلى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معنى التجريم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ويستدل على ذلك المعنى بأمثلة متعددة سنقف عليها في مواضعها ثم يقول عليه قول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الله </w:t>
      </w:r>
      <w:r w:rsidRPr="00ED62AF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عز اسمه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ED62AF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ED62AF">
        <w:rPr>
          <w:rFonts w:ascii="QCF_P089" w:hAnsi="QCF_P089" w:cs="QCF_P089"/>
          <w:b/>
          <w:bCs/>
          <w:sz w:val="18"/>
          <w:szCs w:val="18"/>
          <w:rtl/>
        </w:rPr>
        <w:t>ﭵ ﭶ ﭷ</w:t>
      </w:r>
      <w:r w:rsidRPr="00ED62AF">
        <w:rPr>
          <w:rFonts w:ascii="QCF_P089" w:hAnsi="QCF_P089" w:cs="DecoType Thuluth"/>
          <w:b/>
          <w:bCs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النساء: 68] أي: هديناهم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من نعمتنا عليهم، ونظرنا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لهم صراطًا مستقيمًا، وقال كثير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47"/>
        <w:gridCol w:w="561"/>
        <w:gridCol w:w="2024"/>
      </w:tblGrid>
      <w:tr w:rsidR="00ED62AF" w:rsidRPr="00ED62AF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ED62AF" w:rsidRPr="00ED62AF" w:rsidRDefault="00ED62AF" w:rsidP="00ED62AF">
            <w:pPr>
              <w:spacing w:before="24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ED62AF">
              <w:rPr>
                <w:rFonts w:cs="AGA Furat Regular"/>
                <w:b/>
                <w:bCs/>
                <w:sz w:val="18"/>
                <w:szCs w:val="18"/>
                <w:rtl/>
              </w:rPr>
              <w:lastRenderedPageBreak/>
              <w:t>أمير المؤمنين على الصراط</w:t>
            </w:r>
            <w:r w:rsidRPr="00ED62AF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62AF" w:rsidRPr="00ED62AF" w:rsidRDefault="00ED62AF" w:rsidP="00ED62AF">
            <w:pPr>
              <w:spacing w:before="24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ED62AF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ED62AF" w:rsidRPr="00ED62AF" w:rsidRDefault="00ED62AF" w:rsidP="00ED62AF">
            <w:pPr>
              <w:spacing w:before="24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ED62AF">
              <w:rPr>
                <w:rFonts w:cs="AGA Furat Regular"/>
                <w:b/>
                <w:bCs/>
                <w:sz w:val="18"/>
                <w:szCs w:val="18"/>
                <w:rtl/>
              </w:rPr>
              <w:t>إذا اعوج الموارد مستقيم</w:t>
            </w:r>
            <w:r w:rsidRPr="00ED62AF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وهذا كقولك: أمير المؤمنين على الصراط المستقيم، لا فرق بينهما، وذلك أن مفاد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نكرة الجنس مفاد معرفته من حيث كان في كل جزء منه ما في جملته، ومعنى ذلك أن تعدد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الرؤيا إلى الكلمة في سياقها من الآية، ثم الآيات هو الذي استدعى كل هذه الأوجه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البلاغية التي تلمسها ابن جني، وغيره من العلماء لتنكير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صراط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وتعريفه، فيفيد التنكير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معنى التقليل الذي يناسب مقام التذلل والدعاء والضراعة، كما يفيد أيضًا معنى الجنس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إذًا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صراط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جنس وتنكيره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وتعريفه متقاربان حيث كان في كل جزء منه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معنى ما في جملته، وربما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يستدعي التنكير كذلك معنى التعظيم إذا حملناه على نظيره في آيتي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يس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وهما قوله تعالى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ED62AF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ED62AF">
        <w:rPr>
          <w:rFonts w:ascii="QCF_P228" w:hAnsi="QCF_P228" w:cs="QCF_P228"/>
          <w:b/>
          <w:bCs/>
          <w:sz w:val="18"/>
          <w:szCs w:val="18"/>
          <w:rtl/>
        </w:rPr>
        <w:t>ﭽ ﭾ ﭿ</w:t>
      </w:r>
      <w:r w:rsidRPr="00ED62AF">
        <w:rPr>
          <w:rFonts w:ascii="QCF_P228" w:hAnsi="QCF_P228" w:cs="DecoType Thuluth"/>
          <w:b/>
          <w:bCs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يس: 4] وقوله جل وعلا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ED62AF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ED62AF">
        <w:rPr>
          <w:rFonts w:ascii="QCF_P444" w:hAnsi="QCF_P444" w:cs="QCF_P444"/>
          <w:b/>
          <w:bCs/>
          <w:sz w:val="18"/>
          <w:szCs w:val="18"/>
          <w:rtl/>
        </w:rPr>
        <w:t>ﮃ ﮄ ﮅ ﮆ ﮇ ﮈ</w:t>
      </w:r>
      <w:r w:rsidRPr="00ED62AF">
        <w:rPr>
          <w:rFonts w:ascii="QCF_P444" w:hAnsi="QCF_P444" w:cs="DecoType Thuluth"/>
          <w:b/>
          <w:bCs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يس: 61] فهو صراط بليغ في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استقامته، جامع لكل ما يجب أن يكون عليه، وأصل لمرتبة يقصر عنها التوصيف والتعريف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أما العهد الذهني الذي دلت عليه المعرفة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في سياقها، فيرى العكبري أن النكرة قد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تنصرف إلى معناه بقرينة، والقرينة شيئان: أحدهما: قوله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ED62AF">
        <w:rPr>
          <w:rFonts w:ascii="QCF_P001" w:hAnsi="QCF_P001" w:cs="QCF_P001"/>
          <w:b/>
          <w:bCs/>
          <w:sz w:val="18"/>
          <w:szCs w:val="18"/>
          <w:rtl/>
        </w:rPr>
        <w:t>ﭫ ﭬ ﭭ ﭮ</w:t>
      </w:r>
      <w:r w:rsidRPr="00ED62AF">
        <w:rPr>
          <w:rFonts w:ascii="QCF_P001" w:hAnsi="QCF_P001" w:cs="DecoType Thuluth"/>
          <w:b/>
          <w:bCs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الفاتحة: 7] فأبدل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الثاني من الأول فتخصص. والثاني: أن الغرض هي هدايتهم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إلى صراط مستقيم، وقد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ثبت بالدليل أن الإسلام هو الصراط المستقيم، ولا مستقيم سواه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أيضًا من الأساليب البلاغية التي يحتج لها بالقراءات الشاذة: الاستعارة في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المفرد، وذلك كما في قوله تعالى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ED62AF">
        <w:rPr>
          <w:rFonts w:ascii="QCF_P383" w:hAnsi="QCF_P383" w:cs="QCF_P383"/>
          <w:b/>
          <w:bCs/>
          <w:sz w:val="18"/>
          <w:szCs w:val="18"/>
          <w:rtl/>
        </w:rPr>
        <w:t>ﯱ ﯲ ﯳ ﯴ ﯵ ﯶ ﯷ ﯸ</w:t>
      </w:r>
      <w:r w:rsidRPr="00ED62AF">
        <w:rPr>
          <w:rFonts w:ascii="QCF_P383" w:hAnsi="QCF_P383" w:cs="DecoType Thuluth"/>
          <w:b/>
          <w:bCs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النمل: 74] فقرأها الجمهور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تكن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بضم التاء وكسر الكاف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ED62AF">
        <w:rPr>
          <w:rFonts w:ascii="QCF_P383" w:hAnsi="QCF_P383" w:cs="QCF_P383"/>
          <w:b/>
          <w:bCs/>
          <w:sz w:val="18"/>
          <w:szCs w:val="18"/>
          <w:rtl/>
        </w:rPr>
        <w:t>ﯵ</w:t>
      </w:r>
      <w:r w:rsidRPr="00ED62AF">
        <w:rPr>
          <w:rFonts w:ascii="QCF_P383" w:hAnsi="QCF_P383" w:cs="DecoType Thuluth"/>
          <w:b/>
          <w:bCs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وقرأ ابن محيصن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وحميد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تَكُن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بفتح التاء وضم الكاف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both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قال ابن جني بعد ذكر قراءة ابن محيصن ومن معه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المألوف في هذا أكننت الشيء إذا أخفيته في نفسي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وكننته إذا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سترته بشيء، فأكننت كأضمرت، وكننت كسترت، فأما هذه القراءة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ED62AF">
        <w:rPr>
          <w:rFonts w:ascii="QCF_P383" w:hAnsi="QCF_P383" w:cs="QCF_P383"/>
          <w:b/>
          <w:bCs/>
          <w:spacing w:val="-4"/>
          <w:sz w:val="18"/>
          <w:szCs w:val="18"/>
          <w:rtl/>
        </w:rPr>
        <w:t>ﯵ ﯶ</w:t>
      </w:r>
      <w:r w:rsidRPr="00ED62AF">
        <w:rPr>
          <w:rFonts w:ascii="QCF_P383" w:hAnsi="QCF_P383" w:cs="DecoType Thuluth"/>
          <w:b/>
          <w:bCs/>
          <w:spacing w:val="-4"/>
          <w:sz w:val="18"/>
          <w:szCs w:val="18"/>
          <w:rtl/>
        </w:rPr>
        <w:t>}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فعلى أنه أجرى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الضمير مجرى الجسم الساتر لها مبالغة، وذلك لأن الجسم أقوى من العرض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وهذا نحو قول الشاعر</w:t>
      </w:r>
      <w:r w:rsidRPr="00ED62AF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44"/>
        <w:gridCol w:w="562"/>
        <w:gridCol w:w="2026"/>
      </w:tblGrid>
      <w:tr w:rsidR="00ED62AF" w:rsidRPr="00ED62AF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ED62AF" w:rsidRPr="00ED62AF" w:rsidRDefault="00ED62AF" w:rsidP="00ED62AF">
            <w:pPr>
              <w:spacing w:before="24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ED62AF">
              <w:rPr>
                <w:rFonts w:cs="AGA Furat Regular"/>
                <w:b/>
                <w:bCs/>
                <w:sz w:val="18"/>
                <w:szCs w:val="18"/>
                <w:rtl/>
              </w:rPr>
              <w:t>وحاجة دون أخرى قد عرضت لها</w:t>
            </w:r>
            <w:r w:rsidRPr="00ED62AF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62AF" w:rsidRPr="00ED62AF" w:rsidRDefault="00ED62AF" w:rsidP="00ED62AF">
            <w:pPr>
              <w:spacing w:before="24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ED62AF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ED62AF" w:rsidRPr="00ED62AF" w:rsidRDefault="00ED62AF" w:rsidP="00ED62AF">
            <w:pPr>
              <w:spacing w:before="24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ED62AF">
              <w:rPr>
                <w:rFonts w:cs="AGA Furat Regular"/>
                <w:b/>
                <w:bCs/>
                <w:sz w:val="18"/>
                <w:szCs w:val="18"/>
                <w:rtl/>
              </w:rPr>
              <w:t>جعلتها للتي أخفيت عنوانا</w:t>
            </w:r>
            <w:r w:rsidRPr="00ED62AF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فأجرى ما يخفيه الضمير، ويبرزه البوح به مجرى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ما يدرك باللمس تنويهًا بها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ومباداة للحس بإدراك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وبالنظر إلى كلام أبي الفتح نلمح أنه بنى هذا الوجه البلاغي عنده على مألوف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استعمال أكننت وكننت في اللغة، ومن ثم فقراءة الجمهور تجري في ذلك على الأصل، أما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قراءة ابن محيصن، ومن معه فقد انتقلت عن ذلك الأصل فأجريت إضمار النفس للأسرار مجرى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الجسم الساتر لها بغرض التأكيد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لإبراز المعنوي في صورة المحسوس،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والمبالغة في الإخفاء والتستر، وهو وجه لا يتحقق في توجيه القراءة إذا ما أخذنا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بمذهب من يسوي بين الصفتين، ويرى أنهما لغتان يتعاوران على المعنيين جميعًا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jc w:val="both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ومن الأساليب البلاغية التي يحتج لها بالقراءة الشاذة أيضًا من أسرار الاختصاص ما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دعا إليه الترخيم، وذلك في قراءة علي بن أبي طالب، وابن مسعود </w:t>
      </w:r>
      <w:r w:rsidRPr="00ED62AF">
        <w:rPr>
          <w:rFonts w:cs="SC_ALYERMOOK" w:hint="cs"/>
          <w:b/>
          <w:bCs/>
          <w:position w:val="-4"/>
          <w:sz w:val="18"/>
          <w:szCs w:val="18"/>
          <w:rtl/>
        </w:rPr>
        <w:t>{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ويحيى والأعمش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ونادوا يا مال ليقض علينا ربك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قال أبو الفتح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هذا المذهب المألوف في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الترخيم إلا أن في هذا الموضع سرًّا جديدًا، وذلك أنهم لعظم ما هم عليه ضعفت قواهم، وذلت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أنفسهم، وصغر كلامهم، فكان هذا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من مواضع الاختصار ضرورة عليه، ووقوفًا دون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</w:rPr>
        <w:t>تجاوزه إلى ما يستعمله المالك لقوله القادر على التصرف في منطقه</w:t>
      </w:r>
      <w:r w:rsidRPr="00ED62AF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D62AF" w:rsidRPr="00ED62AF" w:rsidRDefault="00ED62AF" w:rsidP="00ED62AF">
      <w:pPr>
        <w:spacing w:before="240"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ED62AF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ED62AF" w:rsidRPr="00ED62AF" w:rsidRDefault="00ED62AF" w:rsidP="00ED62AF">
      <w:pPr>
        <w:numPr>
          <w:ilvl w:val="0"/>
          <w:numId w:val="1"/>
        </w:numPr>
        <w:spacing w:before="240"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(المحتسب في تبيين وجوه شواذ القراءات والإيضاح عنها) </w:t>
      </w:r>
    </w:p>
    <w:p w:rsidR="00ED62AF" w:rsidRPr="00ED62AF" w:rsidRDefault="00ED62AF" w:rsidP="00ED62AF">
      <w:pPr>
        <w:spacing w:before="240"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ED62AF" w:rsidRPr="00ED62AF" w:rsidRDefault="00ED62AF" w:rsidP="00ED62AF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ED62AF" w:rsidRPr="00ED62AF" w:rsidRDefault="00ED62AF" w:rsidP="00ED62AF">
      <w:pPr>
        <w:spacing w:before="240"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ED62AF" w:rsidRPr="00ED62AF" w:rsidRDefault="00ED62AF" w:rsidP="00ED62AF">
      <w:pPr>
        <w:numPr>
          <w:ilvl w:val="0"/>
          <w:numId w:val="1"/>
        </w:numPr>
        <w:spacing w:before="240"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ED62AF" w:rsidRPr="00ED62AF" w:rsidRDefault="00ED62AF" w:rsidP="00ED62AF">
      <w:pPr>
        <w:spacing w:before="240"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ED62AF" w:rsidRPr="00ED62AF" w:rsidRDefault="00ED62AF" w:rsidP="00ED62AF">
      <w:pPr>
        <w:numPr>
          <w:ilvl w:val="0"/>
          <w:numId w:val="1"/>
        </w:numPr>
        <w:spacing w:before="240"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ED62AF" w:rsidRPr="00ED62AF" w:rsidRDefault="00ED62AF" w:rsidP="00ED62AF">
      <w:pPr>
        <w:spacing w:before="240"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ED62AF" w:rsidRPr="00ED62AF" w:rsidRDefault="00ED62AF" w:rsidP="00ED62AF">
      <w:pPr>
        <w:numPr>
          <w:ilvl w:val="0"/>
          <w:numId w:val="1"/>
        </w:numPr>
        <w:spacing w:before="240"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ED62AF" w:rsidRPr="00ED62AF" w:rsidRDefault="00ED62AF" w:rsidP="00ED62AF">
      <w:pPr>
        <w:spacing w:before="240"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ED62AF" w:rsidRPr="00ED62AF" w:rsidRDefault="00ED62AF" w:rsidP="00ED62AF">
      <w:pPr>
        <w:numPr>
          <w:ilvl w:val="0"/>
          <w:numId w:val="1"/>
        </w:numPr>
        <w:spacing w:before="240"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ED62AF" w:rsidRPr="00ED62AF" w:rsidRDefault="00ED62AF" w:rsidP="00ED62AF">
      <w:pPr>
        <w:spacing w:before="240"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ED62AF" w:rsidRPr="00ED62AF" w:rsidRDefault="00ED62AF" w:rsidP="00ED62AF">
      <w:pPr>
        <w:numPr>
          <w:ilvl w:val="0"/>
          <w:numId w:val="1"/>
        </w:numPr>
        <w:spacing w:before="240"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ED62AF" w:rsidRPr="00ED62AF" w:rsidRDefault="00ED62AF" w:rsidP="00ED62AF">
      <w:pPr>
        <w:spacing w:before="240"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ED62AF" w:rsidRPr="00ED62AF" w:rsidRDefault="00ED62AF" w:rsidP="00ED62AF">
      <w:pPr>
        <w:numPr>
          <w:ilvl w:val="0"/>
          <w:numId w:val="1"/>
        </w:numPr>
        <w:spacing w:before="240"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ED62AF" w:rsidRPr="00ED62AF" w:rsidRDefault="00ED62AF" w:rsidP="00ED62AF">
      <w:pPr>
        <w:spacing w:before="240"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ED62AF" w:rsidRPr="00ED62AF" w:rsidRDefault="00ED62AF" w:rsidP="00ED62AF">
      <w:pPr>
        <w:numPr>
          <w:ilvl w:val="0"/>
          <w:numId w:val="1"/>
        </w:numPr>
        <w:spacing w:before="240"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ED62AF" w:rsidRPr="00ED62AF" w:rsidRDefault="00ED62AF" w:rsidP="00ED62AF">
      <w:pPr>
        <w:spacing w:before="240"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ED62AF" w:rsidRPr="00ED62AF" w:rsidRDefault="00ED62AF" w:rsidP="00ED62AF">
      <w:pPr>
        <w:numPr>
          <w:ilvl w:val="0"/>
          <w:numId w:val="1"/>
        </w:numPr>
        <w:spacing w:before="240"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ED62AF" w:rsidRPr="00ED62AF" w:rsidRDefault="00ED62AF" w:rsidP="00ED62AF">
      <w:pPr>
        <w:spacing w:before="240"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ED62AF" w:rsidRPr="00ED62AF" w:rsidRDefault="00ED62AF" w:rsidP="00ED62AF">
      <w:pPr>
        <w:numPr>
          <w:ilvl w:val="0"/>
          <w:numId w:val="1"/>
        </w:numPr>
        <w:spacing w:before="240"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ED62AF" w:rsidRPr="00ED62AF" w:rsidRDefault="00ED62AF" w:rsidP="00ED62AF">
      <w:pPr>
        <w:spacing w:before="240"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ED62AF" w:rsidRPr="00ED62AF" w:rsidRDefault="00ED62AF" w:rsidP="00ED62AF">
      <w:pPr>
        <w:numPr>
          <w:ilvl w:val="0"/>
          <w:numId w:val="1"/>
        </w:numPr>
        <w:spacing w:before="240"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ED62AF" w:rsidRPr="00ED62AF" w:rsidRDefault="00ED62AF" w:rsidP="00ED62AF">
      <w:pPr>
        <w:spacing w:before="240"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ED62AF" w:rsidRPr="00ED62AF" w:rsidRDefault="00ED62AF" w:rsidP="00ED62AF">
      <w:pPr>
        <w:numPr>
          <w:ilvl w:val="0"/>
          <w:numId w:val="1"/>
        </w:numPr>
        <w:spacing w:before="240"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ED62AF" w:rsidRPr="00ED62AF" w:rsidRDefault="00ED62AF" w:rsidP="00ED62AF">
      <w:pPr>
        <w:pStyle w:val="NormalWeb"/>
        <w:bidi/>
        <w:spacing w:before="24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ED62AF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ED62AF" w:rsidRPr="00ED62AF" w:rsidRDefault="00ED62AF" w:rsidP="00ED62AF">
      <w:pPr>
        <w:spacing w:before="240" w:after="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  <w:lang w:bidi="ar-EG"/>
        </w:rPr>
      </w:pPr>
    </w:p>
    <w:sectPr w:rsidR="00ED62AF" w:rsidRPr="00ED62AF" w:rsidSect="00ED62AF">
      <w:type w:val="continuous"/>
      <w:pgSz w:w="11906" w:h="16838"/>
      <w:pgMar w:top="1440" w:right="566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D62AF"/>
    <w:rsid w:val="001A2769"/>
    <w:rsid w:val="004168A0"/>
    <w:rsid w:val="004219C3"/>
    <w:rsid w:val="004A286F"/>
    <w:rsid w:val="00ED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D62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D62A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62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1299</Words>
  <Characters>7409</Characters>
  <Application>Microsoft Office Word</Application>
  <DocSecurity>0</DocSecurity>
  <Lines>61</Lines>
  <Paragraphs>17</Paragraphs>
  <ScaleCrop>false</ScaleCrop>
  <Company>Fannan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2013-06-16T15:33:00Z</dcterms:created>
  <dcterms:modified xsi:type="dcterms:W3CDTF">2013-06-16T15:39:00Z</dcterms:modified>
</cp:coreProperties>
</file>