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D3" w:rsidRDefault="00BF70D3" w:rsidP="00BF70D3">
      <w:pPr>
        <w:spacing w:after="200" w:line="276" w:lineRule="auto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  <w:lang w:bidi="ar-SA"/>
        </w:rPr>
      </w:pPr>
      <w:r w:rsidRPr="00BF70D3">
        <w:rPr>
          <w:rFonts w:asciiTheme="majorBidi" w:eastAsia="Calibri" w:hAnsiTheme="majorBidi" w:cstheme="majorBidi" w:hint="cs"/>
          <w:b/>
          <w:bCs/>
          <w:sz w:val="48"/>
          <w:szCs w:val="48"/>
          <w:rtl/>
          <w:lang w:bidi="ar-SA"/>
        </w:rPr>
        <w:t>الأثر الفقهي المستنبط من القراءات في كلمة يطيقونه</w:t>
      </w:r>
    </w:p>
    <w:p w:rsidR="00BF70D3" w:rsidRPr="00F7753E" w:rsidRDefault="00BF70D3" w:rsidP="00BF70D3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BF70D3" w:rsidRPr="00426F7E" w:rsidRDefault="00BF70D3" w:rsidP="00BF70D3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BF70D3" w:rsidRPr="00426F7E" w:rsidRDefault="00BF70D3" w:rsidP="00BF70D3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BF70D3" w:rsidRPr="00426F7E" w:rsidRDefault="00BF70D3" w:rsidP="00BF70D3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BF70D3" w:rsidRPr="00426F7E" w:rsidRDefault="00BF70D3" w:rsidP="00BF70D3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BF70D3" w:rsidRDefault="00BF70D3" w:rsidP="00BF70D3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BF70D3" w:rsidRPr="00426F7E" w:rsidRDefault="00BF70D3" w:rsidP="00BF70D3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BF70D3" w:rsidRDefault="00BF70D3" w:rsidP="00BF70D3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BF70D3" w:rsidSect="00BF70D3">
          <w:pgSz w:w="11906" w:h="16838"/>
          <w:pgMar w:top="1440" w:right="991" w:bottom="1440" w:left="1800" w:header="708" w:footer="708" w:gutter="0"/>
          <w:cols w:space="708"/>
          <w:bidi/>
          <w:rtlGutter/>
          <w:docGrid w:linePitch="360"/>
        </w:sectPr>
      </w:pPr>
    </w:p>
    <w:p w:rsidR="00BF70D3" w:rsidRPr="00BF70D3" w:rsidRDefault="00BF70D3" w:rsidP="00BF70D3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  <w:lang w:bidi="ar-SA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BF70D3">
        <w:rPr>
          <w:rFonts w:asciiTheme="majorBidi" w:eastAsia="Calibri" w:hAnsiTheme="majorBidi" w:cstheme="majorBidi" w:hint="cs"/>
          <w:b/>
          <w:bCs/>
          <w:sz w:val="18"/>
          <w:szCs w:val="18"/>
          <w:rtl/>
          <w:lang w:bidi="ar-SA"/>
        </w:rPr>
        <w:t>الأثر الفقهي المستنبط من القراءات في كلمة يطيقونه</w:t>
      </w:r>
    </w:p>
    <w:p w:rsidR="00BF70D3" w:rsidRPr="00BF70D3" w:rsidRDefault="00BF70D3" w:rsidP="00BF70D3">
      <w:pPr>
        <w:rPr>
          <w:rFonts w:asciiTheme="majorBidi" w:eastAsia="Calibri" w:hAnsiTheme="majorBidi" w:cstheme="majorBidi"/>
          <w:b/>
          <w:bCs/>
          <w:sz w:val="18"/>
          <w:szCs w:val="18"/>
          <w:rtl/>
          <w:lang w:bidi="ar-SA"/>
        </w:rPr>
      </w:pPr>
    </w:p>
    <w:p w:rsidR="00BF70D3" w:rsidRPr="00BF70D3" w:rsidRDefault="00BF70D3" w:rsidP="00BF70D3">
      <w:pPr>
        <w:spacing w:before="60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BF70D3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BF70D3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الشاذه، الاسلامى، الشيخه</w:t>
      </w:r>
    </w:p>
    <w:p w:rsidR="00BF70D3" w:rsidRPr="00BF70D3" w:rsidRDefault="00BF70D3" w:rsidP="00BF70D3">
      <w:pPr>
        <w:numPr>
          <w:ilvl w:val="0"/>
          <w:numId w:val="2"/>
        </w:numPr>
        <w:spacing w:before="6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BF70D3" w:rsidRPr="00BF70D3" w:rsidRDefault="00BF70D3" w:rsidP="00BF70D3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  <w:lang w:bidi="ar-SA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BF70D3">
        <w:rPr>
          <w:rFonts w:asciiTheme="majorBidi" w:eastAsia="Calibri" w:hAnsiTheme="majorBidi" w:cstheme="majorBidi" w:hint="cs"/>
          <w:b/>
          <w:bCs/>
          <w:sz w:val="18"/>
          <w:szCs w:val="18"/>
          <w:rtl/>
          <w:lang w:bidi="ar-SA"/>
        </w:rPr>
        <w:t>الأثر الفقهي المستنبط من القراءات في كلمة يطيقونه</w:t>
      </w:r>
    </w:p>
    <w:p w:rsidR="00BF70D3" w:rsidRPr="00BF70D3" w:rsidRDefault="00BF70D3" w:rsidP="00BF70D3">
      <w:pPr>
        <w:spacing w:before="60"/>
        <w:rPr>
          <w:rFonts w:asciiTheme="majorBidi" w:hAnsiTheme="majorBidi" w:cstheme="majorBidi"/>
          <w:b/>
          <w:bCs/>
          <w:sz w:val="18"/>
          <w:szCs w:val="18"/>
          <w:rtl/>
          <w:lang w:bidi="ar-SA"/>
        </w:rPr>
      </w:pPr>
    </w:p>
    <w:p w:rsidR="00BF70D3" w:rsidRPr="00BF70D3" w:rsidRDefault="00BF70D3" w:rsidP="00BF70D3">
      <w:pPr>
        <w:numPr>
          <w:ilvl w:val="0"/>
          <w:numId w:val="3"/>
        </w:numPr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BF70D3" w:rsidRPr="00BF70D3" w:rsidRDefault="00BF70D3" w:rsidP="00BF70D3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  <w:lang w:bidi="ar-SA"/>
        </w:rPr>
      </w:pP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نتحدث عن أثر القراءات الشاذة في الفقه الإسلامي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وتحدثنا في الدرس السابق عن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حكم الشيخ والشيخة الفاني</w:t>
      </w:r>
      <w:r w:rsidRPr="00BF70D3">
        <w:rPr>
          <w:rFonts w:ascii="Simplified Arabic" w:hAnsi="Simplified Arabic" w:cs="AL-Hotham" w:hint="cs"/>
          <w:b/>
          <w:bCs/>
          <w:sz w:val="18"/>
          <w:szCs w:val="18"/>
          <w:rtl/>
        </w:rPr>
        <w:t>ي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ن إذا أفطرا في رمضان، وبينا القراءات الواردة في كلمة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BF70D3">
        <w:rPr>
          <w:rFonts w:ascii="QCF_P028" w:hAnsi="QCF_P028" w:cs="QCF_P028"/>
          <w:b/>
          <w:bCs/>
          <w:sz w:val="18"/>
          <w:szCs w:val="18"/>
          <w:rtl/>
        </w:rPr>
        <w:t>ﮃ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[البقرة:184]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من قول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الله </w:t>
      </w:r>
      <w:r w:rsidRPr="00BF70D3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جل وعلا</w:t>
      </w:r>
      <w:r w:rsidRPr="00BF70D3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BF70D3">
        <w:rPr>
          <w:rFonts w:ascii="QCF_P028" w:hAnsi="QCF_P028" w:cs="QCF_P028"/>
          <w:b/>
          <w:bCs/>
          <w:sz w:val="18"/>
          <w:szCs w:val="18"/>
          <w:rtl/>
        </w:rPr>
        <w:t>ﭵ ﭶ ﭷ ﭸ ﭹ ﭺ ﭻ ﭼ ﭽ ﭾ ﭿ ﮀ ﮁ ﮂ ﮃ ﮄ ﮅ ﮆ ﮇ ﮈ ﮉ ﮊ ﮋ ﮌ ﮍ ﮎ ﮏ ﮐ ﮑ ﮒ ﮓ ﮔ ﮕ ﮖ</w:t>
      </w:r>
      <w:r w:rsidRPr="00BF70D3">
        <w:rPr>
          <w:rFonts w:ascii="QCF_P028" w:hAnsi="QCF_P028" w:cs="DecoType Thuluth"/>
          <w:b/>
          <w:bCs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[البقرة: 184]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وقلنا: بأن كلمة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BF70D3">
        <w:rPr>
          <w:rFonts w:ascii="QCF_P028" w:hAnsi="QCF_P028" w:cs="QCF_P028"/>
          <w:b/>
          <w:bCs/>
          <w:sz w:val="18"/>
          <w:szCs w:val="18"/>
          <w:rtl/>
        </w:rPr>
        <w:t>ﮃ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ورد فيها قراءة متواترة، وست قراءات شاذة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أما القراءة المتواترة فهي قوله تعالى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BF70D3">
        <w:rPr>
          <w:rFonts w:ascii="QCF_P028" w:hAnsi="QCF_P028" w:cs="QCF_P028"/>
          <w:b/>
          <w:bCs/>
          <w:sz w:val="18"/>
          <w:szCs w:val="18"/>
          <w:rtl/>
        </w:rPr>
        <w:t>ﮁ ﮂ ﮃ</w:t>
      </w:r>
      <w:r w:rsidRPr="00BF70D3">
        <w:rPr>
          <w:rFonts w:ascii="QCF_P028" w:hAnsi="QCF_P028" w:cs="DecoType Thuluth"/>
          <w:b/>
          <w:bCs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وهي من أطاق يُطيق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بمعنى الإطاقة، وهذه القراءة قرأ بها القراء العشرة؛ أما القراءات الشاذة الواردة في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كلمة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يطيقونه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فأولها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لا يطيقونه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هي قراءة السيدة حفصة </w:t>
      </w:r>
      <w:r w:rsidRPr="00BF70D3">
        <w:rPr>
          <w:rFonts w:cs="SC_ALYERMOOK" w:hint="cs"/>
          <w:b/>
          <w:bCs/>
          <w:position w:val="-4"/>
          <w:sz w:val="18"/>
          <w:szCs w:val="18"/>
          <w:rtl/>
        </w:rPr>
        <w:t>&lt;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كما قال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الإمامان النسفي والألوسي </w:t>
      </w:r>
      <w:r w:rsidRPr="00BF70D3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رحمهما الله </w:t>
      </w:r>
      <w:r w:rsidRPr="00BF70D3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تعالى.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وثانيها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يُطوقونه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مبنيًّا للمفعول بمعنى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يجشمونه ويكلفونه، ويجعل لهم كالطوق في أعناقهم، وهذه القراءة رويت عن عبد الله بن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عباس </w:t>
      </w:r>
      <w:r w:rsidRPr="00BF70D3">
        <w:rPr>
          <w:rFonts w:cs="SC_ALYERMOOK" w:hint="cs"/>
          <w:b/>
          <w:bCs/>
          <w:position w:val="-4"/>
          <w:sz w:val="18"/>
          <w:szCs w:val="18"/>
          <w:rtl/>
        </w:rPr>
        <w:t>{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وعن ابن مسعود وسعيد بن جبير </w:t>
      </w:r>
      <w:r w:rsidRPr="00BF70D3">
        <w:rPr>
          <w:rFonts w:cs="SC_ALYERMOOK" w:hint="cs"/>
          <w:b/>
          <w:bCs/>
          <w:position w:val="-4"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وثالثها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يطّوَّقونه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بتشديد الطاء والواو. وأصله يتطوقونه فأبدلت التاء طاء، ثم أدغمت في الطاء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بعدها، والمعنى يتكلفونه ويتجشمونه، وبهذه القراءة قرأت السيدة عائشة، ومجاهد، وطاوس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وعمرو بن دينار </w:t>
      </w:r>
      <w:r w:rsidRPr="00BF70D3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رحمهم الله جميعًا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ورابعها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يَطّيقونه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بفتح الياء، وتشديد الطاء والياء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يطيقونه، ورويت هذه القراءة عن ابن عباس، ومجاهد، وبها قرأ عكرمة وطائفة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خامسها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يطيِّقونه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بتشديد الياء وكسرها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وبها قرأ سعيد بن المسيب، ورويت أيضًا عن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سيدنا عبد الله بن عباس ومجاهد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سادِسُها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يطوقونه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من أطوق؛ وبها قرأ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حميد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الأثر الفقهي المستنبط من هذه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القراءات نقول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دلت الآية الكريمة بالقراءة المتواترة، والقراءات الشاذة الواردة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فيها على حكمين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الحكم الأول: أنّ القادر على الصوم له أن يترك الصوم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إلى الفدية، ولا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يلزمه القضاء، وهذا ما أفادته القراءة المتواترة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يطيقونه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ولكن هذا الحكم قد شرع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ابتداء على التقرير ثم نُسخ بقوله تعالى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BF70D3">
        <w:rPr>
          <w:rFonts w:ascii="QCF_P028" w:hAnsi="QCF_P028" w:cs="QCF_P028"/>
          <w:b/>
          <w:bCs/>
          <w:sz w:val="18"/>
          <w:szCs w:val="18"/>
          <w:rtl/>
        </w:rPr>
        <w:t>ﮥ ﮦ ﮧ ﮨ ﮩ</w:t>
      </w:r>
      <w:r w:rsidRPr="00BF70D3">
        <w:rPr>
          <w:rFonts w:ascii="QCF_P028" w:hAnsi="QCF_P028" w:cs="DecoType Thuluth"/>
          <w:b/>
          <w:bCs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ويشهد لهذا القول ما جاء في الصحيحين عن سلمة بن الأكوع، قال: لما نزلت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هذه الآية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BF70D3">
        <w:rPr>
          <w:rFonts w:ascii="QCF_P028" w:hAnsi="QCF_P028" w:cs="QCF_P028"/>
          <w:b/>
          <w:bCs/>
          <w:sz w:val="18"/>
          <w:szCs w:val="18"/>
          <w:rtl/>
        </w:rPr>
        <w:t>ﮁ ﮂ ﮃ ﮄ ﮅ ﮆ ﮇ</w:t>
      </w:r>
      <w:r w:rsidRPr="00BF70D3">
        <w:rPr>
          <w:rFonts w:ascii="QCF_P028" w:hAnsi="QCF_P028" w:cs="DecoType Thuluth"/>
          <w:b/>
          <w:bCs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كان من أراد أن يأكل أو يفطر، ويفتدي حتى نزلت الآية التي بعدها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فنسختها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الحكم الثاني: أن الذي يتكلف ويتجشم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ويكون الصوم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في عنقه كالطوق؛ فيترك الصوم إلى الفدية، ولا يلزمه القضاء، وهذا الحكم للشيخ والشيخة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الفانيان، وكذا الحامل والمرضع على خلاف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في وجوه القضاء أو الفدية على الحامل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والمرضع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وهذا الحكم مستنبط من القراءات الشاذة الواردة في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كلمة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يطيقونه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والآية الكريمة على القراءات الشاذة بمجموعها لا نسخ فيها أصلًا؛ فالناس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على ثلاثة أحوال: الأصحاء المقيمون، ويلزمهم الصوم عينا في رمضان، والمرضى والمسافرون،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ولهم الفطر إن أرادوا،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وعليهم إن أفطروا أيام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أخر، وقوم لا يقدرون على الصوم، وفيه ضرر فهؤلاء يفدون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ولقد وفق بعض العلماء بين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القراءة المتواترة، والقراءات الشاذة في الآية الكريمة بأمرين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الأمر الأول: أن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الآية الكريمة على إظهار حرف النفي، وتقديره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وعلى الذين لا يطيقونه فدية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بهذا الحرف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قرأت السيدة حفصة وتكون الآية الكريمة حينئذ بقراءاتها المتواترة في معنى القراءات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الأخرى الشاذة أو أن القراءة المتواترة محمولة على الشاذة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الأمر الثاني: أنّ الوسع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فوقَ الطاقة، فالوسع اسم للقدرة على الشيء مع السهولة؛ يُقال: في وسع فلان أن يفعل كذا،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وفلان يسعه أن يفعل كذا، إذا كان يقدر عليه مع السهولة، أما الطاقة فهي اسم للقدرة مع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الشيء مع الشدة والمشقة. يُقال: فلان يطيق كذا، أي: أنهم آخر ما في طوقه وقدرته،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فالمعنى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وعلى الذين يطيقونهم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الذين يقدرون عليه مع الشدة والمشقة، وعلى هذا فلا نسخ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في الآية الكريمة بل حكمها باق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أقول: ولعل سبب اختلاف العُلماء في النسخ وعدمه في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الآية الكريمة، منشأ الاختلاف الآثار الواردة عن ابن عباس </w:t>
      </w:r>
      <w:r w:rsidRPr="00BF70D3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حيثُ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كان يُفسر الآية بمعنى ويحكم بنسخها، وتارة يفسرها بمعنى آخر، ولا يحكم بنسخها، وعلى كل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فليس هذا تناقضًا منه </w:t>
      </w:r>
      <w:r w:rsidRPr="00BF70D3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إذ قد يكون مراده بالنسخ هنا التخصيص؛ حيث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كان المتقدمون كثيرًا ما يُطلقون كلمة نسخ على رفع الحكم بالكلية، وعلى رفع بعض الحكم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سواء بالتخصيص أم بالتقليل، بل كانوا يسمون الاستنثاء، والشرط، والصفة نسخًا؛ لتضمن ذلك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رفع دلالة الظاهر، وبيان المراد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فكل ما بَين المراد؛ يُغير ذلك اللفظ بل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بأمر خارج عنه؛ فهو نسخ عندهم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فقول ابن عباس </w:t>
      </w:r>
      <w:r w:rsidRPr="00BF70D3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: رخص للشيخ الكبير،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والعجوز الكبيرة في ذلك، وهما لا يطيقان الصوم أن يفطرا إن شاء، ويُطعما عن كل يوم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مسكين، ولا قضاء عليهما ثم نسخ ذلك في هذه الآية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BF70D3">
        <w:rPr>
          <w:rFonts w:ascii="QCF_P028" w:hAnsi="QCF_P028" w:cs="QCF_P028"/>
          <w:b/>
          <w:bCs/>
          <w:sz w:val="18"/>
          <w:szCs w:val="18"/>
          <w:rtl/>
        </w:rPr>
        <w:t xml:space="preserve"> ﮥ ﮦ ﮧ ﮨ ﮩ</w:t>
      </w:r>
      <w:r w:rsidRPr="00BF70D3">
        <w:rPr>
          <w:rFonts w:ascii="QCF_P028" w:hAnsi="QCF_P028" w:cs="DecoType Thuluth"/>
          <w:b/>
          <w:bCs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وثبت للشيخ الكبير والعجوز إذا كان لا يطيقان الصوم، والحبلى والمرضع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إذا خافتا أفطرتا، وأطعمتا كل يوم مسكينًا؛ فهذا القول من ابن عباس لا يُعارض ما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جاء عن عطاء أنه سمع ابن عباس يقرأ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BF70D3">
        <w:rPr>
          <w:rFonts w:ascii="QCF_P028" w:hAnsi="QCF_P028" w:cs="QCF_P028"/>
          <w:b/>
          <w:bCs/>
          <w:sz w:val="18"/>
          <w:szCs w:val="18"/>
          <w:rtl/>
        </w:rPr>
        <w:t>ﮁ ﮂ ﮃ ﮄ ﮅ ﮆ</w:t>
      </w:r>
      <w:r w:rsidRPr="00BF70D3">
        <w:rPr>
          <w:rFonts w:ascii="QCF_P028" w:hAnsi="QCF_P028" w:cs="DecoType Thuluth"/>
          <w:b/>
          <w:bCs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قال ابن عباس: ليست منسوخة، وللشيخ الكبير، والمرأة الكبيرة لا يستطيعان أن يصوما؛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فليطعمان مكان كل يوم مسكينا. لأن قوله: ليست بمنسوخة تفسر قوله: ثم نسخت ذلك في هذه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الآية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BF70D3">
        <w:rPr>
          <w:rFonts w:ascii="QCF_P028" w:hAnsi="QCF_P028" w:cs="QCF_P028"/>
          <w:b/>
          <w:bCs/>
          <w:sz w:val="18"/>
          <w:szCs w:val="18"/>
          <w:rtl/>
        </w:rPr>
        <w:t>ﮤ ﮥ ﮦ ﮧ ﮨ ﮩ</w:t>
      </w:r>
      <w:r w:rsidRPr="00BF70D3">
        <w:rPr>
          <w:rFonts w:ascii="QCF_P028" w:hAnsi="QCF_P028" w:cs="DecoType Thuluth"/>
          <w:b/>
          <w:bCs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وثبت للشيخ الكبير والعجوز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إذا كان لا يطيقيان الصوم، والحبلى والمرضع إذا خافتا أفطرتا وأطعمتا كل يوم مسكينًا؛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فمراده من قوله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ليست بمنسوخة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أي: حكم الآية لم يُرفع بالكلية، ومراده من قوله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ثم نسخ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أي: خُصص بعض أفراد الحكم، وثبت الحكم في حق من ذكره، وبهذا يتفق كلام ابن عباس </w:t>
      </w:r>
      <w:r w:rsidRPr="00BF70D3">
        <w:rPr>
          <w:rFonts w:cs="SC_ALYERMOOK" w:hint="cs"/>
          <w:b/>
          <w:bCs/>
          <w:position w:val="-4"/>
          <w:sz w:val="18"/>
          <w:szCs w:val="18"/>
          <w:rtl/>
        </w:rPr>
        <w:t>{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وأيضًا مما يؤكد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اتفاق الجميع على أن حكم الآية لم ينسخ بالكلية كما أشار إليه حبر الأمة ابن عباس؛ ما جاء عن أبي ليلى، عن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معاذ بن جبل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قال: أحيلت الصلاة ثلاثة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أحوال </w:t>
      </w:r>
      <w:r w:rsidRPr="00BF70D3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وأحلي الصوم ثلاثة أحوال، </w:t>
      </w:r>
      <w:r w:rsidRPr="00BF70D3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lastRenderedPageBreak/>
        <w:t>فذكر أحوال الصلاة ثم قال: وأما أحوال الصيام فإن</w:t>
      </w:r>
      <w:r w:rsidRPr="00BF70D3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رسول الله </w:t>
      </w:r>
      <w:r w:rsidRPr="00BF70D3">
        <w:rPr>
          <w:rFonts w:ascii="AGA Arabesque" w:hAnsi="AGA Arabesque" w:cs="Simplified Arabic"/>
          <w:b/>
          <w:bCs/>
          <w:spacing w:val="-4"/>
          <w:position w:val="-4"/>
          <w:sz w:val="18"/>
          <w:szCs w:val="18"/>
        </w:rPr>
        <w:t></w:t>
      </w:r>
      <w:r w:rsidRPr="00BF70D3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 قدم المدينة؛ فجعل يصوم من كل شهر ثلاثة أيام، وصام</w:t>
      </w:r>
      <w:r w:rsidRPr="00BF70D3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يوم عاشوراء ثم إن الله </w:t>
      </w:r>
      <w:r w:rsidRPr="00BF70D3">
        <w:rPr>
          <w:rFonts w:ascii="AGA Arabesque" w:hAnsi="AGA Arabesque" w:cs="Simplified Arabic"/>
          <w:b/>
          <w:bCs/>
          <w:spacing w:val="-4"/>
          <w:position w:val="-4"/>
          <w:sz w:val="18"/>
          <w:szCs w:val="18"/>
        </w:rPr>
        <w:t></w:t>
      </w:r>
      <w:r w:rsidRPr="00BF70D3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 فرض عليه الصيام، فأنزل الله </w:t>
      </w:r>
      <w:r w:rsidRPr="00BF70D3">
        <w:rPr>
          <w:rFonts w:ascii="AGA Arabesque" w:hAnsi="AGA Arabesque" w:cs="Simplified Arabic"/>
          <w:b/>
          <w:bCs/>
          <w:spacing w:val="-4"/>
          <w:position w:val="-4"/>
          <w:sz w:val="18"/>
          <w:szCs w:val="18"/>
        </w:rPr>
        <w:t>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BF70D3">
        <w:rPr>
          <w:rFonts w:ascii="QCF_P028" w:hAnsi="QCF_P028" w:cs="QCF_P028"/>
          <w:b/>
          <w:bCs/>
          <w:sz w:val="18"/>
          <w:szCs w:val="18"/>
          <w:rtl/>
        </w:rPr>
        <w:t>ﭣ ﭤ ﭥ ﭦ ﭧ ﭨ ﭩ ﭪ ﭫ ﭬ ﭭ ﭮ</w:t>
      </w:r>
      <w:r w:rsidRPr="00BF70D3">
        <w:rPr>
          <w:rFonts w:ascii="QCF_P028" w:hAnsi="QCF_P028" w:cs="DecoType Thuluth"/>
          <w:b/>
          <w:bCs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[البقرة: 183] إلى هذه الآية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BF70D3">
        <w:rPr>
          <w:rFonts w:ascii="QCF_P028" w:hAnsi="QCF_P028" w:cs="QCF_P028"/>
          <w:b/>
          <w:bCs/>
          <w:sz w:val="18"/>
          <w:szCs w:val="18"/>
          <w:rtl/>
        </w:rPr>
        <w:t>ﮁ ﮂ ﮃ ﮄ ﮅ ﮆ</w:t>
      </w:r>
      <w:r w:rsidRPr="00BF70D3">
        <w:rPr>
          <w:rFonts w:ascii="QCF_P028" w:hAnsi="QCF_P028" w:cs="DecoType Thuluth"/>
          <w:b/>
          <w:bCs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قال: فكان من شاء صام ومن شاء أطعم مسكينًا،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فأجزأ ذلك عنه؛ قال: ثم إن الله </w:t>
      </w:r>
      <w:r w:rsidRPr="00BF70D3">
        <w:rPr>
          <w:rFonts w:ascii="AGA Arabesque" w:hAnsi="AGA Arabesque" w:cs="Simplified Arabic"/>
          <w:b/>
          <w:bCs/>
          <w:position w:val="-4"/>
          <w:sz w:val="18"/>
          <w:szCs w:val="18"/>
        </w:rPr>
        <w:t>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أنزل الآية الأخرى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BF70D3">
        <w:rPr>
          <w:rFonts w:ascii="QCF_P028" w:hAnsi="QCF_P028" w:cs="QCF_P028"/>
          <w:b/>
          <w:bCs/>
          <w:sz w:val="18"/>
          <w:szCs w:val="18"/>
          <w:rtl/>
        </w:rPr>
        <w:t>ﮘ ﮙ ﮚ ﮛ ﮜ ﮝ</w:t>
      </w:r>
      <w:r w:rsidRPr="00BF70D3">
        <w:rPr>
          <w:rFonts w:ascii="QCF_P028" w:hAnsi="QCF_P028" w:cs="DecoType Thuluth"/>
          <w:b/>
          <w:bCs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إلى قوله تعالى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BF70D3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BF70D3">
        <w:rPr>
          <w:rFonts w:ascii="QCF_P028" w:hAnsi="QCF_P028" w:cs="QCF_P028"/>
          <w:b/>
          <w:bCs/>
          <w:sz w:val="18"/>
          <w:szCs w:val="18"/>
          <w:rtl/>
        </w:rPr>
        <w:t>ﮤ ﮥ ﮦ ﮧ ﮨ ﮩ</w:t>
      </w:r>
      <w:r w:rsidRPr="00BF70D3">
        <w:rPr>
          <w:rFonts w:ascii="QCF_P028" w:hAnsi="QCF_P028" w:cs="DecoType Thuluth"/>
          <w:b/>
          <w:bCs/>
          <w:sz w:val="18"/>
          <w:szCs w:val="18"/>
          <w:rtl/>
        </w:rPr>
        <w:t>}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البقرة: 185] قال: فأثبت الله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صيامه على المقيم الصحيح، ورخص فيه للمريض، وللمسافر وثبت الإطعام للكبير الذي لا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يستطيع الصيام؛ فهذان حولان</w:t>
      </w:r>
      <w:r w:rsidRPr="00BF70D3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..."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الحديث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فهذا الحديث صريح في أن الآية منسوخة بالنسبة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للذي يطيق الصيام؛ غير منسوخة بالنسبة للذي يشق عليه الصيام، أي: أن الآية مخصوصة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وعليه؛ فإن حكم هذه الآية باق في حق الحامل والمرضع، إذا خافتا على نفسيهما أو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</w:rPr>
        <w:t>وليدهما أفطرتا وأطعمتا والله تعالى أعلم</w:t>
      </w:r>
      <w:r w:rsidRPr="00BF70D3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BF70D3" w:rsidRPr="00BF70D3" w:rsidRDefault="00BF70D3" w:rsidP="00BF70D3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BF70D3" w:rsidRPr="00BF70D3" w:rsidRDefault="00BF70D3" w:rsidP="00BF70D3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BF70D3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BF70D3" w:rsidRPr="00BF70D3" w:rsidRDefault="00BF70D3" w:rsidP="00BF70D3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BF70D3" w:rsidRPr="00BF70D3" w:rsidRDefault="00BF70D3" w:rsidP="00BF70D3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BF70D3" w:rsidRPr="00BF70D3" w:rsidRDefault="00BF70D3" w:rsidP="00BF70D3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BF70D3" w:rsidRPr="00BF70D3" w:rsidRDefault="00BF70D3" w:rsidP="00BF70D3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BF70D3" w:rsidRPr="00BF70D3" w:rsidRDefault="00BF70D3" w:rsidP="00BF70D3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BF70D3" w:rsidRPr="00BF70D3" w:rsidRDefault="00BF70D3" w:rsidP="00BF70D3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أبو البقاء العكبري،  بتحقيق محمد السيد أحمد عزوز،  عالم الكتب, 1996م</w:t>
      </w:r>
    </w:p>
    <w:p w:rsidR="00BF70D3" w:rsidRPr="00BF70D3" w:rsidRDefault="00BF70D3" w:rsidP="00BF70D3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BF70D3" w:rsidRPr="00BF70D3" w:rsidRDefault="00BF70D3" w:rsidP="00BF70D3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BF70D3" w:rsidRPr="00BF70D3" w:rsidRDefault="00BF70D3" w:rsidP="00BF70D3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BF70D3" w:rsidRPr="00BF70D3" w:rsidRDefault="00BF70D3" w:rsidP="00BF70D3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BF70D3" w:rsidRPr="00BF70D3" w:rsidRDefault="00BF70D3" w:rsidP="00BF70D3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BF70D3" w:rsidRPr="00BF70D3" w:rsidRDefault="00BF70D3" w:rsidP="00BF70D3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BF70D3" w:rsidRPr="00BF70D3" w:rsidRDefault="00BF70D3" w:rsidP="00BF70D3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BF70D3" w:rsidRPr="00BF70D3" w:rsidRDefault="00BF70D3" w:rsidP="00BF70D3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BF70D3" w:rsidRPr="00BF70D3" w:rsidRDefault="00BF70D3" w:rsidP="00BF70D3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BF70D3" w:rsidRPr="00BF70D3" w:rsidRDefault="00BF70D3" w:rsidP="00BF70D3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BF70D3" w:rsidRPr="00BF70D3" w:rsidRDefault="00BF70D3" w:rsidP="00BF70D3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BF70D3" w:rsidRPr="00BF70D3" w:rsidRDefault="00BF70D3" w:rsidP="00BF70D3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BF70D3" w:rsidRPr="00BF70D3" w:rsidRDefault="00BF70D3" w:rsidP="00BF70D3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BF70D3" w:rsidRPr="00BF70D3" w:rsidRDefault="00BF70D3" w:rsidP="00BF70D3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BF70D3" w:rsidRPr="00BF70D3" w:rsidRDefault="00BF70D3" w:rsidP="00BF70D3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BF70D3" w:rsidRPr="00BF70D3" w:rsidRDefault="00BF70D3" w:rsidP="00BF70D3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BF70D3" w:rsidRPr="00BF70D3" w:rsidRDefault="00BF70D3" w:rsidP="00BF70D3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BF70D3" w:rsidRPr="00BF70D3" w:rsidRDefault="00BF70D3" w:rsidP="00BF70D3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BF70D3" w:rsidRPr="00BF70D3" w:rsidRDefault="00BF70D3" w:rsidP="00BF70D3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BF70D3" w:rsidRPr="00BF70D3" w:rsidRDefault="00BF70D3" w:rsidP="00BF70D3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BF70D3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BF70D3" w:rsidRPr="00BF70D3" w:rsidRDefault="00BF70D3" w:rsidP="00BF70D3">
      <w:pPr>
        <w:rPr>
          <w:rFonts w:hint="cs"/>
          <w:b/>
          <w:bCs/>
          <w:sz w:val="18"/>
          <w:szCs w:val="18"/>
        </w:rPr>
      </w:pPr>
    </w:p>
    <w:p w:rsidR="00BF70D3" w:rsidRPr="00BF70D3" w:rsidRDefault="00BF70D3" w:rsidP="00BF70D3">
      <w:pPr>
        <w:rPr>
          <w:b/>
          <w:bCs/>
          <w:sz w:val="18"/>
          <w:szCs w:val="18"/>
        </w:rPr>
      </w:pPr>
    </w:p>
    <w:p w:rsidR="00BF70D3" w:rsidRDefault="00BF70D3" w:rsidP="00BF70D3">
      <w:pPr>
        <w:spacing w:line="276" w:lineRule="auto"/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</w:rPr>
        <w:sectPr w:rsidR="00BF70D3" w:rsidSect="00BF70D3">
          <w:type w:val="continuous"/>
          <w:pgSz w:w="11906" w:h="16838"/>
          <w:pgMar w:top="1440" w:right="991" w:bottom="1440" w:left="1800" w:header="708" w:footer="708" w:gutter="0"/>
          <w:cols w:num="2" w:space="708"/>
          <w:bidi/>
          <w:rtlGutter/>
          <w:docGrid w:linePitch="360"/>
        </w:sectPr>
      </w:pPr>
    </w:p>
    <w:p w:rsidR="00BF70D3" w:rsidRPr="00BF70D3" w:rsidRDefault="00BF70D3" w:rsidP="00BF70D3">
      <w:pPr>
        <w:spacing w:line="276" w:lineRule="auto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</w:rPr>
      </w:pPr>
    </w:p>
    <w:p w:rsidR="004219C3" w:rsidRPr="00BF70D3" w:rsidRDefault="004219C3" w:rsidP="00BF70D3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48"/>
          <w:szCs w:val="48"/>
          <w:lang w:bidi="ar-SA"/>
        </w:rPr>
      </w:pPr>
    </w:p>
    <w:sectPr w:rsidR="004219C3" w:rsidRPr="00BF70D3" w:rsidSect="00BF70D3">
      <w:type w:val="continuous"/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F70D3"/>
    <w:rsid w:val="001A2769"/>
    <w:rsid w:val="004168A0"/>
    <w:rsid w:val="004219C3"/>
    <w:rsid w:val="004A286F"/>
    <w:rsid w:val="00BF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70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F70D3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BF70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1067</Words>
  <Characters>6087</Characters>
  <Application>Microsoft Office Word</Application>
  <DocSecurity>0</DocSecurity>
  <Lines>50</Lines>
  <Paragraphs>14</Paragraphs>
  <ScaleCrop>false</ScaleCrop>
  <Company>Fannan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2013-06-16T15:42:00Z</dcterms:created>
  <dcterms:modified xsi:type="dcterms:W3CDTF">2013-06-16T16:22:00Z</dcterms:modified>
</cp:coreProperties>
</file>