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C3" w:rsidRDefault="00D32AB7" w:rsidP="00D32AB7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D32AB7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الإيلاء وأحكامه</w:t>
      </w:r>
    </w:p>
    <w:p w:rsidR="009736A9" w:rsidRPr="00F7753E" w:rsidRDefault="009736A9" w:rsidP="009736A9">
      <w:pPr>
        <w:spacing w:after="0" w:line="240" w:lineRule="auto"/>
        <w:jc w:val="center"/>
        <w:rPr>
          <w:rFonts w:asciiTheme="majorBidi" w:eastAsia="Calibri" w:hAnsiTheme="majorBidi" w:cstheme="majorBidi"/>
          <w:sz w:val="18"/>
          <w:szCs w:val="18"/>
          <w:rtl/>
          <w:lang w:bidi="ar-EG"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  <w:lang w:bidi="ar-EG"/>
        </w:rPr>
        <w:t>القراءات الشاذه</w:t>
      </w:r>
    </w:p>
    <w:p w:rsidR="009736A9" w:rsidRPr="00426F7E" w:rsidRDefault="009736A9" w:rsidP="009736A9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9736A9" w:rsidRPr="00426F7E" w:rsidRDefault="009736A9" w:rsidP="009736A9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9736A9" w:rsidRPr="00426F7E" w:rsidRDefault="009736A9" w:rsidP="009736A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9736A9" w:rsidRPr="00426F7E" w:rsidRDefault="009736A9" w:rsidP="009736A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9736A9" w:rsidRDefault="009736A9" w:rsidP="009736A9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  <w:lang w:bidi="ar-EG"/>
          </w:rPr>
          <w:t>Ahmedmsamir54@gmail.com</w:t>
        </w:r>
      </w:hyperlink>
    </w:p>
    <w:p w:rsidR="009736A9" w:rsidRPr="00426F7E" w:rsidRDefault="009736A9" w:rsidP="009736A9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9736A9" w:rsidRDefault="009736A9" w:rsidP="00973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9736A9" w:rsidSect="00D32AB7">
          <w:headerReference w:type="even" r:id="rId8"/>
          <w:pgSz w:w="11906" w:h="16838" w:code="9"/>
          <w:pgMar w:top="2835" w:right="566" w:bottom="1135" w:left="2127" w:header="720" w:footer="720" w:gutter="0"/>
          <w:cols w:space="720"/>
          <w:titlePg/>
          <w:bidi/>
          <w:rtlGutter/>
          <w:docGrid w:linePitch="360"/>
        </w:sectPr>
      </w:pPr>
    </w:p>
    <w:p w:rsidR="009736A9" w:rsidRPr="009736A9" w:rsidRDefault="009736A9" w:rsidP="009736A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9736A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الإيلاء وأحكامه</w:t>
      </w:r>
    </w:p>
    <w:p w:rsidR="009736A9" w:rsidRPr="009736A9" w:rsidRDefault="009736A9" w:rsidP="009736A9">
      <w:pPr>
        <w:spacing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9736A9" w:rsidRPr="009736A9" w:rsidRDefault="009736A9" w:rsidP="009736A9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9736A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9736A9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غفور، رحيم، الكريمه</w:t>
      </w:r>
    </w:p>
    <w:p w:rsidR="009736A9" w:rsidRPr="009736A9" w:rsidRDefault="009736A9" w:rsidP="009736A9">
      <w:pPr>
        <w:numPr>
          <w:ilvl w:val="0"/>
          <w:numId w:val="2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9736A9" w:rsidRPr="009736A9" w:rsidRDefault="009736A9" w:rsidP="009736A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18"/>
          <w:szCs w:val="18"/>
          <w:rtl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9736A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الإيلاء وأحكامه</w:t>
      </w:r>
    </w:p>
    <w:p w:rsidR="009736A9" w:rsidRPr="009736A9" w:rsidRDefault="009736A9" w:rsidP="009736A9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736A9" w:rsidRPr="009736A9" w:rsidRDefault="009736A9" w:rsidP="009736A9">
      <w:pPr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قال تعالى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>ﭡ ﭢ ﭣ ﭤ ﭥ ﭦ ﭧ ﭨ ﭩ ﭪ ﭫ ﭬ ﭭ ﭮ</w:t>
      </w:r>
      <w:r w:rsidRPr="009736A9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[البقرة:226]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ورد في هذه الآية الكريمة قراءتان من القراءات الشاذة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القراءة الأولى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للذين يقسمون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وبها قرأ ابن عباس وأبي بن كعب، وهذه القراءة جاءت لتوضيح معنى القراءة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المتواترة؛ فالقسم والإيلاء من الأسماء المترادفة؛ إذ إن الإيلاء معناه في اللغة الحلف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يُقال: ألى يؤلي إيلاء، وتألى تأليا وائتلى ائتلاء أي: حلف، ومنه قوله تعالى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736A9">
        <w:rPr>
          <w:rFonts w:ascii="QCF_P352" w:hAnsi="QCF_P352" w:cs="QCF_P352"/>
          <w:b/>
          <w:bCs/>
          <w:sz w:val="18"/>
          <w:szCs w:val="18"/>
          <w:rtl/>
        </w:rPr>
        <w:t>ﭸ ﭹ ﭺ ﭻ ﭼ ﭽ</w:t>
      </w:r>
      <w:r w:rsidRPr="009736A9">
        <w:rPr>
          <w:rFonts w:ascii="QCF_P352" w:hAnsi="QCF_P352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[النور:22] أي: ولا يحلف مأخوذ من الآلية، وهي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اليمين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والقراءة الثانية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فإن فاءوا فيهنّ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وهي قراءة عبد الله بن مسعود، وكذا أبي بن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كعب، ورُوي عن أبي أنه قرأها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فإن فاءوا فيها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إذًا عندي قراءتان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القراءة الأولى: يُقسمون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والقراءة الثانية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فيقسمون قراءة شاذة وأيضًا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فإن فاءوا فيها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قراءة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شاذة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الأثر الفقهي المترتب على هذه القراءات: لقد كان لورود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هذه القراءات أثر فقهي أذكره لك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فيما يلي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فالقراءة الأولى توضح أن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الإيلاء هو القسم؛ ومعناه في لسان الشرع أن يحلف الرجل ألا يطأ زوجته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إلى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مدة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هي أكثر من أربعة أشهر، أو أربعة أشهر على خلاف بين الفقهاء، ونظرا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لهذه القراءة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يقسمون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وكذا الحديث الوارد عن رسول الله </w:t>
      </w:r>
      <w:r w:rsidRPr="009736A9">
        <w:rPr>
          <w:rFonts w:ascii="AGA Arabesque" w:hAnsi="AGA Arabesque" w:cs="Simplified Arabic"/>
          <w:b/>
          <w:bCs/>
          <w:position w:val="-4"/>
          <w:sz w:val="18"/>
          <w:szCs w:val="18"/>
        </w:rPr>
        <w:t>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((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كان حالفًا؛ فليحلف بالله أو ليصمت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))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فقد اختلف العلماء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فيما يقع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به الإيلاء من اليمين؛ فقال الشافعي في الجديد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لا يقع الإيلاء إلا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باليمين أي: باليمين بالله تعالى وحده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قوله </w:t>
      </w:r>
      <w:r w:rsidRPr="009736A9">
        <w:rPr>
          <w:rFonts w:ascii="AGA Arabesque" w:hAnsi="AGA Arabesque" w:cs="Simplified Arabic"/>
          <w:b/>
          <w:bCs/>
          <w:spacing w:val="-4"/>
          <w:position w:val="-4"/>
          <w:sz w:val="18"/>
          <w:szCs w:val="18"/>
        </w:rPr>
        <w:t>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((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من كان حالفًا؛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فليحلف بالله أو ليصمت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))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وقال الحنفية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والمالكية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يصح الإيلاء باليمين أو بالحلف على ترك الوطء بالطلاق أو العتاق أو نذر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التصدق بالمال أو الحج أو الطهارة؛ لقول ابن عباس </w:t>
      </w:r>
      <w:r w:rsidRPr="009736A9">
        <w:rPr>
          <w:rFonts w:cs="SC_ALYERMOOK" w:hint="cs"/>
          <w:b/>
          <w:bCs/>
          <w:spacing w:val="-4"/>
          <w:position w:val="-4"/>
          <w:sz w:val="18"/>
          <w:szCs w:val="18"/>
          <w:rtl/>
        </w:rPr>
        <w:t>{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كل يمين منعت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جماعًا فهي إيلاء، وكل من حلف بالله أو بصفة من صفاته؛ فقال: أقسم بالله، وأشهد الله أو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أشهد بالله، أو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علي عهد الله، أو كفالة الله أو ميثاقه وذمته؛ فإنه يلزمه الإيلاء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اتفاقًا، والأصل في ذلك عندهم العموم، أعني: العموم في قوله تعالى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pacing w:val="-4"/>
          <w:sz w:val="18"/>
          <w:szCs w:val="18"/>
          <w:rtl/>
        </w:rPr>
        <w:t>{</w:t>
      </w:r>
      <w:r w:rsidRPr="009736A9">
        <w:rPr>
          <w:rFonts w:ascii="QCF_P036" w:hAnsi="QCF_P036" w:cs="QCF_P036"/>
          <w:b/>
          <w:bCs/>
          <w:spacing w:val="-4"/>
          <w:sz w:val="18"/>
          <w:szCs w:val="18"/>
          <w:rtl/>
        </w:rPr>
        <w:t>ﭡ ﭢ</w:t>
      </w:r>
      <w:r w:rsidRPr="009736A9">
        <w:rPr>
          <w:rFonts w:ascii="QCF_P036" w:hAnsi="QCF_P036" w:cs="DecoType Thuluth"/>
          <w:b/>
          <w:bCs/>
          <w:spacing w:val="-4"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؛ إذ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لم يفرق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.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فإذا آل بصدقة، أو عتق عبد معين أو غير معين لزم الإيلاء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وأضاف علماء المالكية لا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يشترط اليمين في الإيلاء؛ فإذا امتنع رجل من الوطء بقصد الإضرار من غير عذر، ولم يحلف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كان موليًا؛ لوقوع الضرر، وقد اختلف أهل التأويل في صفة اليمين التي يكون بها المرء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موليًا، فقال بعضهم: لا يكون موليًا إلا إذا حلف على ترك غشيان المرأة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lastRenderedPageBreak/>
        <w:t>إضرارًا بها، أما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إذا حلف لا على وجه الإضرار؛ فلا يكون موليًا، ونُسب هذا القول إلى سيدنا علي </w:t>
      </w:r>
      <w:r w:rsidRPr="009736A9">
        <w:rPr>
          <w:rFonts w:cs="SC_ALYERMOOK" w:hint="cs"/>
          <w:b/>
          <w:bCs/>
          <w:spacing w:val="-4"/>
          <w:position w:val="-4"/>
          <w:sz w:val="18"/>
          <w:szCs w:val="18"/>
          <w:rtl/>
        </w:rPr>
        <w:t>&gt;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 وابن عباس وشهاب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cs="SC_ALYERMOOK" w:hint="cs"/>
          <w:b/>
          <w:bCs/>
          <w:spacing w:val="-4"/>
          <w:position w:val="-4"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وقال غيرهم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إنه يكون موليًا سواء أحلف على ترك غشيانها إضرارًا بها، أم لمصلحة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قال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الشعبي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كل يمين منعت جماعًا، حتى تمضي أربعة أشهر فهي إيلاء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".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وقال الحنابلة: على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الرواية المشهورة لا يكون الإيلاء بالحلف بالطلاق، أو العتاق لماذا؟ لأنّ الإيلاء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المطلق إنما هو القسم؛ بدليل قراءة ابن عباس وأبي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للذين يقسمون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بدل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يؤلون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"؛ إذ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التعليق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بشرط ليس بقسم، ولهذا لا يؤتى فيه بحرف القسم، ولا يُجاب بجوابه، ولا يذكره أهل العربية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في باب القسم؛ فلا يكون إيلاء، وإنما يسمى حلفًا تجاوزًا لمشاركته القسم في المعنى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المشهور في القسم، وهو الحث على الفعل أو المنع منه أو توكيد الخبر، والكلام عند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إطلاقه لحقيقته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ويدل على هذا قول الله </w:t>
      </w:r>
      <w:r w:rsidRPr="009736A9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تعالى: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>ﭩ ﭪ ﭫ ﭬ ﭭ ﭮ</w:t>
      </w:r>
      <w:r w:rsidRPr="009736A9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[البقرة:226]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حيث لا يدخل الغفران هنا إلا في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اليمين، وأما قراءة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فإن فاءوا فيهن فإن الله غفور رحيم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تدل على أن الفيئة لا تكون إلا في الأشهر، وبناء على ذلك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فقد ذهب الحنفية إلى أن الفيء يكون قبل مضي المدة؛ فإذا مضت الأربعة أشهر بدون فيئة،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وقع الطلاق طلاقًا بائنًا، بينما يرى الجُمهور أنّ الطلاق لا يقع بمجرد مضي المدة؛ فإن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مضي الأجل لا يقع به طلاقًا، وإنما ترفع المرأة الأمر إلى القاضي؛ فإما فاء الزوج، وإما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طلق، أي: أنّ الطلاق يقع بتطليق الزوج أو القاضي إذا رفعت الزوجة الأمر إليه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منشأ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الخلاف في هذه المسألة: ويرجع منشأ الخلاف بين العلماء في هذه المسألة إلى أمرين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الأمر الأول: اختلافهم في تأويل قوله تعالى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 xml:space="preserve">ﭩ ﭪ ﭫ ﭬ ﭭ ﭮ </w:t>
      </w:r>
      <w:r w:rsidRPr="009736A9">
        <w:rPr>
          <w:rFonts w:ascii="Simplified Arabic" w:hAnsi="Simplified Arabic" w:cs="AL-Hotham" w:hint="cs"/>
          <w:b/>
          <w:bCs/>
          <w:sz w:val="18"/>
          <w:szCs w:val="18"/>
          <w:rtl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>ﭰ ﭱ ﭲ ﭳ ﭴ ﭵ ﭶ</w:t>
      </w:r>
      <w:r w:rsidRPr="009736A9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البقرة: 226</w:t>
      </w:r>
      <w:r w:rsidRPr="009736A9">
        <w:rPr>
          <w:rFonts w:ascii="Simplified Arabic" w:hAnsi="Simplified Arabic" w:cs="AL-Hotham" w:hint="cs"/>
          <w:b/>
          <w:bCs/>
          <w:sz w:val="18"/>
          <w:szCs w:val="18"/>
          <w:rtl/>
        </w:rPr>
        <w:t>،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227]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فتأويلها عند الأحناف: فإن فاءوا في هذه الأشهر فإن الله غفور رحيم لما أقدموا عليه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من الحلف على الإضرار بالزوجة، وإن لم يفيئوا في هذه الأشهر واستمروا في أيمانهم، كان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ذلك عزمًا منهم على الطلاق، ويقع بحكم الشرع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ويكون معنى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>ﭰ ﭱ ﭲ</w:t>
      </w:r>
      <w:r w:rsidRPr="009736A9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أي: بترك الفيئة فيها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فإن الله سميع عليم لئلائهم الذي صار منهم طلاقًا بائنًا بمضي العدة، وبهذا فقد شبهوا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مدة الإيلاء بالعدة الرجعية، وشبهوا الإيلاء بالطلاق الرجعي؛ وقد نقلوا أن الإيلاء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كان طلاقًا في الجاهلية؛ فأقره الشرعُ طلاقًا وزاد فيه الأجل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وأما تأويل الآية عند الجمهور أي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DecoType Thuluth"/>
          <w:b/>
          <w:bCs/>
          <w:sz w:val="18"/>
          <w:szCs w:val="18"/>
          <w:rtl/>
        </w:rPr>
        <w:t>{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 xml:space="preserve">ﭩ ﭪ ﭫ ﭬ ﭭ ﭮ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* </w:t>
      </w:r>
      <w:r w:rsidRPr="009736A9">
        <w:rPr>
          <w:rFonts w:ascii="QCF_P036" w:hAnsi="QCF_P036" w:cs="QCF_P036"/>
          <w:b/>
          <w:bCs/>
          <w:sz w:val="18"/>
          <w:szCs w:val="18"/>
          <w:rtl/>
        </w:rPr>
        <w:t>ﭰ ﭱ ﭲ ﭳ ﭴ ﭵ ﭶ</w:t>
      </w:r>
      <w:r w:rsidRPr="009736A9">
        <w:rPr>
          <w:rFonts w:ascii="QCF_P036" w:hAnsi="QCF_P036" w:cs="DecoType Thuluth"/>
          <w:b/>
          <w:bCs/>
          <w:sz w:val="18"/>
          <w:szCs w:val="18"/>
          <w:rtl/>
        </w:rPr>
        <w:t>}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تأويل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ذلك عند الجمهور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للذين يقسمون أن يعتزلوا من نسائهم انتظار أربعة أشهر؛ فإن رجعوا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إلى الجماع بعد انقضائها؛ فإن الله غفور رحيم، وإن قصدوا الطلاق فإن الله سميع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لطلاقهم،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عليم بما يصدر عنهم من خير أو شر فيجازيهم عليه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وظاهر ذلك: أنّ الفيئة بعد أربعة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أشهر لذكره الفيئة بعد المُدة بفاء التعقيب، وهذا يقتضي أن يكون بعد المدة؛ فيكون هذا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الحكم وهو الطلاق مشروعًا عقيب الإيلاء،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وعقيب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حصول التربص في هذه المدة، وبهذا التأويل فقد شبه الجمهور أجل الإيلاء بالأجل الذي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يضرب في العينة؛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العينة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عنّ الشيء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يعن، عنا، وعنونا: إذا ظهر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أمامك واعترض، ومنه العنين وهو من لا يأتي النساء عجزًا، أو لا يريدهن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إذًا بهذا التأويل؛ فقد شبه الجمهور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أجل الإيلاء بالأجل الذي يُضرب في العِينة؛ لأنّ اليمين على ترك الوطء ضرر حادث بالزوجة؛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فضرب بالزوجة مدة في رفعه، فإن رفعه فلا بأس، وإن رفعه الشرع عنها بالطلاق كما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يكون ذلك في كل ضرر يتعلق بالوطء كالعينة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الأمر الثاني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اختلافهم في العمل بالقراءة الشاذة حيث يرى الأحناف أن إضافة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الفيئة إلى المدة، تدل على استحقاق الفيئة فيها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عملًا بقراءة ابن مسعود، وأبي بن كعب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فإن فاءوا فيهن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".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وهذه قراءة إما أن تجري مجرى خبر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الواحد؛ فتوجب العمل، وإن لم توجب كونها من القرآن، وإما أن تكون قرآنا نسخ لفظه، وبقي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حكمه</w:t>
      </w:r>
      <w:r w:rsidRPr="009736A9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وغير الأحناف يرون أن الفيء كما يكون في أثناء المدة؛ يكون بعد انقضائها، وأما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قراءة ابن مسعود وأبي بن كعب في نظرهم؛ فغايتها أن تدل على جواز الفيئة في مدة التربص؛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لا على استحقاق المطالبة بها في المدة، وخلاصة القول هذه المسألة: أن وقوع الطلاق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عند الجمهور إنما يكون بإيقاع الزوج، وعلى قول أبي حنيفة </w:t>
      </w:r>
      <w:r w:rsidRPr="009736A9">
        <w:rPr>
          <w:rFonts w:cs="SC_ALYERMOOK" w:hint="cs"/>
          <w:b/>
          <w:bCs/>
          <w:position w:val="-4"/>
          <w:sz w:val="18"/>
          <w:szCs w:val="18"/>
          <w:rtl/>
        </w:rPr>
        <w:t>&gt;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يقع الطلاق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</w:rPr>
        <w:t>بمضي المدة لا بإيقاع الزوج</w:t>
      </w:r>
      <w:r w:rsidRPr="009736A9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32AB7" w:rsidRPr="009736A9" w:rsidRDefault="00D32AB7" w:rsidP="009736A9">
      <w:pPr>
        <w:spacing w:after="0" w:line="240" w:lineRule="auto"/>
        <w:jc w:val="center"/>
        <w:rPr>
          <w:rFonts w:cs="AL-Hotham"/>
          <w:b/>
          <w:bCs/>
          <w:sz w:val="18"/>
          <w:szCs w:val="18"/>
        </w:rPr>
      </w:pPr>
    </w:p>
    <w:p w:rsidR="00D32AB7" w:rsidRPr="009736A9" w:rsidRDefault="00D32AB7" w:rsidP="009736A9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32AB7" w:rsidRPr="009736A9" w:rsidRDefault="00D32AB7" w:rsidP="009736A9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9736A9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D32AB7" w:rsidRPr="009736A9" w:rsidRDefault="00D32AB7" w:rsidP="009736A9">
      <w:pPr>
        <w:spacing w:after="0" w:line="240" w:lineRule="auto"/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D32AB7" w:rsidRPr="009736A9" w:rsidRDefault="00D32AB7" w:rsidP="009736A9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D32AB7" w:rsidRPr="009736A9" w:rsidRDefault="00D32AB7" w:rsidP="009736A9">
      <w:pPr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D32AB7" w:rsidRPr="009736A9" w:rsidRDefault="00D32AB7" w:rsidP="009736A9">
      <w:pPr>
        <w:spacing w:after="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D32AB7" w:rsidRPr="009736A9" w:rsidRDefault="00D32AB7" w:rsidP="009736A9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D32AB7" w:rsidRPr="009736A9" w:rsidRDefault="00D32AB7" w:rsidP="009736A9">
      <w:pPr>
        <w:spacing w:after="0" w:line="240" w:lineRule="auto"/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D32AB7" w:rsidRPr="009736A9" w:rsidRDefault="00D32AB7" w:rsidP="009736A9">
      <w:pPr>
        <w:numPr>
          <w:ilvl w:val="0"/>
          <w:numId w:val="1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D32AB7" w:rsidRPr="009736A9" w:rsidRDefault="00D32AB7" w:rsidP="009736A9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9736A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D32AB7" w:rsidRPr="009736A9" w:rsidRDefault="00D32AB7" w:rsidP="009736A9">
      <w:pPr>
        <w:spacing w:after="0" w:line="240" w:lineRule="auto"/>
        <w:rPr>
          <w:rFonts w:hint="cs"/>
          <w:b/>
          <w:bCs/>
          <w:sz w:val="18"/>
          <w:szCs w:val="18"/>
          <w:lang w:bidi="ar-EG"/>
        </w:rPr>
      </w:pPr>
    </w:p>
    <w:p w:rsidR="00D32AB7" w:rsidRPr="009736A9" w:rsidRDefault="00D32AB7" w:rsidP="009736A9">
      <w:pPr>
        <w:spacing w:after="0" w:line="240" w:lineRule="auto"/>
        <w:rPr>
          <w:b/>
          <w:bCs/>
          <w:sz w:val="18"/>
          <w:szCs w:val="18"/>
          <w:lang w:bidi="ar-EG"/>
        </w:rPr>
      </w:pPr>
    </w:p>
    <w:p w:rsidR="00D32AB7" w:rsidRPr="009736A9" w:rsidRDefault="00D32AB7" w:rsidP="009736A9">
      <w:pPr>
        <w:spacing w:after="0" w:line="240" w:lineRule="auto"/>
        <w:jc w:val="center"/>
        <w:rPr>
          <w:rFonts w:cs="AL-Hotham"/>
          <w:b/>
          <w:bCs/>
          <w:sz w:val="18"/>
          <w:szCs w:val="18"/>
        </w:rPr>
        <w:sectPr w:rsidR="00D32AB7" w:rsidRPr="009736A9" w:rsidSect="009736A9">
          <w:type w:val="continuous"/>
          <w:pgSz w:w="11906" w:h="16838" w:code="9"/>
          <w:pgMar w:top="1134" w:right="566" w:bottom="1135" w:left="2127" w:header="720" w:footer="720" w:gutter="0"/>
          <w:cols w:num="2" w:space="720"/>
          <w:titlePg/>
          <w:bidi/>
          <w:rtlGutter/>
          <w:docGrid w:linePitch="360"/>
        </w:sectPr>
      </w:pPr>
    </w:p>
    <w:p w:rsidR="009736A9" w:rsidRDefault="009736A9" w:rsidP="009736A9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sectPr w:rsidR="009736A9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32AB7" w:rsidRPr="00D32AB7" w:rsidRDefault="00D32AB7" w:rsidP="009736A9">
      <w:pPr>
        <w:spacing w:after="0"/>
        <w:jc w:val="center"/>
        <w:rPr>
          <w:rFonts w:asciiTheme="majorBidi" w:hAnsiTheme="majorBidi" w:cstheme="majorBidi" w:hint="cs"/>
          <w:b/>
          <w:bCs/>
          <w:sz w:val="48"/>
          <w:szCs w:val="48"/>
          <w:lang w:bidi="ar-EG"/>
        </w:rPr>
      </w:pPr>
    </w:p>
    <w:sectPr w:rsidR="00D32AB7" w:rsidRPr="00D32AB7" w:rsidSect="009736A9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CE" w:rsidRDefault="00FF70CE" w:rsidP="00D32AB7">
      <w:pPr>
        <w:spacing w:after="0" w:line="240" w:lineRule="auto"/>
      </w:pPr>
      <w:r>
        <w:separator/>
      </w:r>
    </w:p>
  </w:endnote>
  <w:endnote w:type="continuationSeparator" w:id="1">
    <w:p w:rsidR="00FF70CE" w:rsidRDefault="00FF70CE" w:rsidP="00D3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CE" w:rsidRDefault="00FF70CE" w:rsidP="00D32AB7">
      <w:pPr>
        <w:spacing w:after="0" w:line="240" w:lineRule="auto"/>
      </w:pPr>
      <w:r>
        <w:separator/>
      </w:r>
    </w:p>
  </w:footnote>
  <w:footnote w:type="continuationSeparator" w:id="1">
    <w:p w:rsidR="00FF70CE" w:rsidRDefault="00FF70CE" w:rsidP="00D3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FF70CE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FF70CE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290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FF70CE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سابع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32AB7"/>
    <w:rsid w:val="001A2769"/>
    <w:rsid w:val="004168A0"/>
    <w:rsid w:val="004219C3"/>
    <w:rsid w:val="004A286F"/>
    <w:rsid w:val="009736A9"/>
    <w:rsid w:val="00D32AB7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2A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2A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D32AB7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D32AB7"/>
  </w:style>
  <w:style w:type="paragraph" w:styleId="Footer">
    <w:name w:val="footer"/>
    <w:basedOn w:val="Normal"/>
    <w:link w:val="FooterChar"/>
    <w:uiPriority w:val="99"/>
    <w:semiHidden/>
    <w:unhideWhenUsed/>
    <w:rsid w:val="00D32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AB7"/>
  </w:style>
  <w:style w:type="character" w:styleId="Hyperlink">
    <w:name w:val="Hyperlink"/>
    <w:basedOn w:val="DefaultParagraphFont"/>
    <w:uiPriority w:val="99"/>
    <w:unhideWhenUsed/>
    <w:rsid w:val="00973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Fannan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2013-06-16T15:43:00Z</dcterms:created>
  <dcterms:modified xsi:type="dcterms:W3CDTF">2013-06-16T16:21:00Z</dcterms:modified>
</cp:coreProperties>
</file>