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B5" w:rsidRDefault="00067EB5" w:rsidP="00067EB5">
      <w:pPr>
        <w:spacing w:after="200" w:line="276" w:lineRule="auto"/>
        <w:jc w:val="center"/>
        <w:rPr>
          <w:rFonts w:asciiTheme="majorBidi" w:eastAsia="Calibri" w:hAnsiTheme="majorBidi" w:cstheme="majorBidi" w:hint="cs"/>
          <w:b/>
          <w:bCs/>
          <w:sz w:val="48"/>
          <w:szCs w:val="48"/>
          <w:rtl/>
          <w:lang w:bidi="ar-SA"/>
        </w:rPr>
      </w:pPr>
      <w:r w:rsidRPr="00067EB5">
        <w:rPr>
          <w:rFonts w:asciiTheme="majorBidi" w:eastAsia="Calibri" w:hAnsiTheme="majorBidi" w:cstheme="majorBidi" w:hint="cs"/>
          <w:b/>
          <w:bCs/>
          <w:sz w:val="48"/>
          <w:szCs w:val="48"/>
          <w:rtl/>
          <w:lang w:bidi="ar-SA"/>
        </w:rPr>
        <w:t>حكم آداء العمرة بناء على القراءة المتواترة والقراءة الشاذة</w:t>
      </w:r>
    </w:p>
    <w:p w:rsidR="00067EB5" w:rsidRPr="00F7753E" w:rsidRDefault="00067EB5" w:rsidP="00067EB5">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067EB5" w:rsidRPr="00426F7E" w:rsidRDefault="00067EB5" w:rsidP="00067EB5">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067EB5" w:rsidRPr="00426F7E" w:rsidRDefault="00067EB5" w:rsidP="00067EB5">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067EB5" w:rsidRPr="00426F7E" w:rsidRDefault="00067EB5" w:rsidP="00067EB5">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067EB5" w:rsidRPr="00426F7E" w:rsidRDefault="00067EB5" w:rsidP="00067EB5">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067EB5" w:rsidRDefault="00067EB5" w:rsidP="00067EB5">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067EB5" w:rsidRPr="00426F7E" w:rsidRDefault="00067EB5" w:rsidP="00067EB5">
      <w:pPr>
        <w:tabs>
          <w:tab w:val="left" w:pos="4050"/>
        </w:tabs>
        <w:jc w:val="center"/>
        <w:rPr>
          <w:rFonts w:asciiTheme="majorBidi" w:hAnsiTheme="majorBidi" w:cstheme="majorBidi"/>
          <w:b/>
          <w:bCs/>
          <w:sz w:val="18"/>
          <w:szCs w:val="18"/>
        </w:rPr>
      </w:pPr>
    </w:p>
    <w:p w:rsidR="00067EB5" w:rsidRDefault="00067EB5" w:rsidP="00067EB5">
      <w:pPr>
        <w:jc w:val="center"/>
        <w:rPr>
          <w:rFonts w:asciiTheme="majorBidi" w:hAnsiTheme="majorBidi" w:cstheme="majorBidi"/>
          <w:b/>
          <w:bCs/>
          <w:sz w:val="18"/>
          <w:szCs w:val="18"/>
          <w:rtl/>
        </w:rPr>
        <w:sectPr w:rsidR="00067EB5" w:rsidSect="00067EB5">
          <w:pgSz w:w="11906" w:h="16838"/>
          <w:pgMar w:top="1440" w:right="1133" w:bottom="993" w:left="1800" w:header="708" w:footer="708" w:gutter="0"/>
          <w:cols w:space="708"/>
          <w:bidi/>
          <w:rtlGutter/>
          <w:docGrid w:linePitch="360"/>
        </w:sectPr>
      </w:pPr>
    </w:p>
    <w:p w:rsidR="00067EB5" w:rsidRPr="00067EB5" w:rsidRDefault="00067EB5" w:rsidP="00067EB5">
      <w:pPr>
        <w:jc w:val="center"/>
        <w:rPr>
          <w:rFonts w:asciiTheme="majorBidi" w:eastAsia="Calibri" w:hAnsiTheme="majorBidi" w:cstheme="majorBidi" w:hint="cs"/>
          <w:b/>
          <w:bCs/>
          <w:sz w:val="18"/>
          <w:szCs w:val="18"/>
          <w:rtl/>
          <w:lang w:bidi="ar-SA"/>
        </w:rPr>
      </w:pPr>
      <w:r w:rsidRPr="00067EB5">
        <w:rPr>
          <w:rFonts w:asciiTheme="majorBidi" w:hAnsiTheme="majorBidi" w:cstheme="majorBidi"/>
          <w:b/>
          <w:bCs/>
          <w:sz w:val="18"/>
          <w:szCs w:val="18"/>
          <w:rtl/>
        </w:rPr>
        <w:lastRenderedPageBreak/>
        <w:t xml:space="preserve">الخلاصة – هذا البحث يبحث فى </w:t>
      </w:r>
      <w:r w:rsidRPr="00067EB5">
        <w:rPr>
          <w:rFonts w:asciiTheme="majorBidi" w:eastAsia="Calibri" w:hAnsiTheme="majorBidi" w:cstheme="majorBidi" w:hint="cs"/>
          <w:b/>
          <w:bCs/>
          <w:sz w:val="18"/>
          <w:szCs w:val="18"/>
          <w:rtl/>
          <w:lang w:bidi="ar-SA"/>
        </w:rPr>
        <w:t>حكم آداء العمرة بناء على القراءة المتواترة والقراءة الشاذة</w:t>
      </w:r>
    </w:p>
    <w:p w:rsidR="00067EB5" w:rsidRPr="00067EB5" w:rsidRDefault="00067EB5" w:rsidP="00067EB5">
      <w:pPr>
        <w:rPr>
          <w:rFonts w:asciiTheme="majorBidi" w:eastAsia="Calibri" w:hAnsiTheme="majorBidi" w:cstheme="majorBidi"/>
          <w:b/>
          <w:bCs/>
          <w:sz w:val="18"/>
          <w:szCs w:val="18"/>
          <w:rtl/>
          <w:lang w:bidi="ar-SA"/>
        </w:rPr>
      </w:pPr>
    </w:p>
    <w:p w:rsidR="00067EB5" w:rsidRPr="00067EB5" w:rsidRDefault="00067EB5" w:rsidP="00067EB5">
      <w:pPr>
        <w:spacing w:before="60"/>
        <w:rPr>
          <w:rFonts w:asciiTheme="majorBidi" w:eastAsia="Calibri" w:hAnsiTheme="majorBidi" w:cstheme="majorBidi"/>
          <w:b/>
          <w:bCs/>
          <w:sz w:val="18"/>
          <w:szCs w:val="18"/>
          <w:rtl/>
        </w:rPr>
      </w:pPr>
      <w:r w:rsidRPr="00067EB5">
        <w:rPr>
          <w:rFonts w:asciiTheme="majorBidi" w:eastAsia="Calibri" w:hAnsiTheme="majorBidi" w:cstheme="majorBidi"/>
          <w:b/>
          <w:bCs/>
          <w:sz w:val="18"/>
          <w:szCs w:val="18"/>
          <w:rtl/>
        </w:rPr>
        <w:t xml:space="preserve">الكلمات المفتاحية – </w:t>
      </w:r>
      <w:r w:rsidRPr="00067EB5">
        <w:rPr>
          <w:rFonts w:asciiTheme="majorBidi" w:eastAsia="Calibri" w:hAnsiTheme="majorBidi" w:cstheme="majorBidi" w:hint="cs"/>
          <w:b/>
          <w:bCs/>
          <w:sz w:val="18"/>
          <w:szCs w:val="18"/>
          <w:rtl/>
        </w:rPr>
        <w:t>الحج، العمره، احصرتم</w:t>
      </w:r>
    </w:p>
    <w:p w:rsidR="00067EB5" w:rsidRPr="00067EB5" w:rsidRDefault="00067EB5" w:rsidP="00067EB5">
      <w:pPr>
        <w:numPr>
          <w:ilvl w:val="0"/>
          <w:numId w:val="2"/>
        </w:numPr>
        <w:spacing w:before="60"/>
        <w:ind w:left="643" w:hanging="90"/>
        <w:jc w:val="center"/>
        <w:rPr>
          <w:rFonts w:asciiTheme="majorBidi" w:hAnsiTheme="majorBidi" w:cstheme="majorBidi"/>
          <w:b/>
          <w:bCs/>
          <w:sz w:val="18"/>
          <w:szCs w:val="18"/>
          <w:rtl/>
        </w:rPr>
      </w:pPr>
      <w:r w:rsidRPr="00067EB5">
        <w:rPr>
          <w:rFonts w:asciiTheme="majorBidi" w:hAnsiTheme="majorBidi" w:cstheme="majorBidi"/>
          <w:b/>
          <w:bCs/>
          <w:sz w:val="18"/>
          <w:szCs w:val="18"/>
          <w:rtl/>
        </w:rPr>
        <w:t>.المقدمة</w:t>
      </w:r>
    </w:p>
    <w:p w:rsidR="00067EB5" w:rsidRPr="00067EB5" w:rsidRDefault="00067EB5" w:rsidP="00067EB5">
      <w:pPr>
        <w:jc w:val="center"/>
        <w:rPr>
          <w:rFonts w:asciiTheme="majorBidi" w:eastAsia="Calibri" w:hAnsiTheme="majorBidi" w:cstheme="majorBidi" w:hint="cs"/>
          <w:b/>
          <w:bCs/>
          <w:sz w:val="18"/>
          <w:szCs w:val="18"/>
          <w:rtl/>
          <w:lang w:bidi="ar-SA"/>
        </w:rPr>
      </w:pPr>
      <w:r w:rsidRPr="00067EB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067EB5">
        <w:rPr>
          <w:rFonts w:asciiTheme="majorBidi" w:eastAsia="Calibri" w:hAnsiTheme="majorBidi" w:cstheme="majorBidi" w:hint="cs"/>
          <w:b/>
          <w:bCs/>
          <w:sz w:val="18"/>
          <w:szCs w:val="18"/>
          <w:rtl/>
          <w:lang w:bidi="ar-SA"/>
        </w:rPr>
        <w:t>حكم آداء العمرة بناء على القراءة المتواترة والقراءة الشاذة</w:t>
      </w:r>
    </w:p>
    <w:p w:rsidR="00067EB5" w:rsidRPr="00067EB5" w:rsidRDefault="00067EB5" w:rsidP="00067EB5">
      <w:pPr>
        <w:spacing w:before="60"/>
        <w:rPr>
          <w:rFonts w:asciiTheme="majorBidi" w:hAnsiTheme="majorBidi" w:cstheme="majorBidi"/>
          <w:b/>
          <w:bCs/>
          <w:sz w:val="18"/>
          <w:szCs w:val="18"/>
          <w:rtl/>
          <w:lang w:bidi="ar-SA"/>
        </w:rPr>
      </w:pPr>
    </w:p>
    <w:p w:rsidR="00067EB5" w:rsidRPr="00067EB5" w:rsidRDefault="00067EB5" w:rsidP="00067EB5">
      <w:pPr>
        <w:numPr>
          <w:ilvl w:val="0"/>
          <w:numId w:val="3"/>
        </w:numPr>
        <w:ind w:left="733" w:hanging="90"/>
        <w:jc w:val="center"/>
        <w:rPr>
          <w:rFonts w:asciiTheme="majorBidi" w:hAnsiTheme="majorBidi" w:cstheme="majorBidi"/>
          <w:b/>
          <w:bCs/>
          <w:sz w:val="18"/>
          <w:szCs w:val="18"/>
          <w:rtl/>
        </w:rPr>
      </w:pPr>
      <w:r w:rsidRPr="00067EB5">
        <w:rPr>
          <w:rFonts w:asciiTheme="majorBidi" w:hAnsiTheme="majorBidi" w:cstheme="majorBidi"/>
          <w:b/>
          <w:bCs/>
          <w:sz w:val="18"/>
          <w:szCs w:val="18"/>
          <w:rtl/>
        </w:rPr>
        <w:t>.عنوان المقال</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قال تعالى</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rPr>
        <w:t>{</w:t>
      </w:r>
      <w:r w:rsidRPr="00067EB5">
        <w:rPr>
          <w:rFonts w:ascii="QCF_P030" w:hAnsi="QCF_P030" w:cs="QCF_P030"/>
          <w:b/>
          <w:bCs/>
          <w:sz w:val="18"/>
          <w:szCs w:val="18"/>
          <w:rtl/>
        </w:rPr>
        <w:t>ﮱ ﯓ ﯔ ﯕ ﯖ ﯗ ﯘ ﯙ ﯚ ﯛ ﯜ ﯝ</w:t>
      </w:r>
      <w:r w:rsidRPr="00067EB5">
        <w:rPr>
          <w:rFonts w:ascii="QCF_P030" w:hAnsi="QCF_P030" w:cs="DecoType Thuluth"/>
          <w:b/>
          <w:bCs/>
          <w:sz w:val="18"/>
          <w:szCs w:val="18"/>
          <w:rtl/>
        </w:rPr>
        <w:t>}</w:t>
      </w:r>
      <w:r w:rsidRPr="00067EB5">
        <w:rPr>
          <w:rFonts w:ascii="Simplified Arabic" w:hAnsi="Simplified Arabic" w:cs="AL-Hotham"/>
          <w:b/>
          <w:bCs/>
          <w:sz w:val="18"/>
          <w:szCs w:val="18"/>
          <w:rtl/>
        </w:rPr>
        <w:t xml:space="preserve"> [البقرة:196]</w:t>
      </w:r>
      <w:r w:rsidRPr="00067EB5">
        <w:rPr>
          <w:rFonts w:ascii="Simplified Arabic" w:hAnsi="Simplified Arabic" w:cs="AL-Hotham"/>
          <w:b/>
          <w:bCs/>
          <w:sz w:val="18"/>
          <w:szCs w:val="18"/>
          <w:rtl/>
          <w:lang w:bidi="ar-EG"/>
        </w:rPr>
        <w:t xml:space="preserve"> </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ورد في لفظ العمرة من هذه الآية الكريمة قراءتان</w:t>
      </w:r>
      <w:r w:rsidRPr="00067EB5">
        <w:rPr>
          <w:rFonts w:ascii="Simplified Arabic" w:hAnsi="Simplified Arabic" w:cs="AL-Hotham"/>
          <w:b/>
          <w:bCs/>
          <w:sz w:val="18"/>
          <w:szCs w:val="18"/>
          <w:rtl/>
          <w:lang w:bidi="ar-EG"/>
        </w:rPr>
        <w:t xml:space="preserve">: </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أحدهما</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lang w:bidi="ar-EG"/>
        </w:rPr>
        <w:t>{</w:t>
      </w:r>
      <w:r w:rsidRPr="00067EB5">
        <w:rPr>
          <w:rFonts w:ascii="QCF_P030" w:hAnsi="QCF_P030" w:cs="QCF_P030"/>
          <w:b/>
          <w:bCs/>
          <w:sz w:val="18"/>
          <w:szCs w:val="18"/>
          <w:rtl/>
        </w:rPr>
        <w:t>ﯔ ﯕ ﯖ</w:t>
      </w:r>
      <w:r w:rsidRPr="00067EB5">
        <w:rPr>
          <w:rFonts w:ascii="QCF_P030" w:hAnsi="QCF_P030" w:cs="DecoType Thuluth"/>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بالنصب، وهي قراءة متواترة قرأ بها القراء العشر</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القراءة الثانية</w:t>
      </w:r>
      <w:r w:rsidRPr="00067EB5">
        <w:rPr>
          <w:rFonts w:ascii="Simplified Arabic" w:hAnsi="Simplified Arabic" w:cs="AL-Hotham"/>
          <w:b/>
          <w:bCs/>
          <w:sz w:val="18"/>
          <w:szCs w:val="18"/>
          <w:rtl/>
          <w:lang w:bidi="ar-EG"/>
        </w:rPr>
        <w:t>: "</w:t>
      </w:r>
      <w:r w:rsidRPr="00067EB5">
        <w:rPr>
          <w:rFonts w:ascii="Simplified Arabic" w:hAnsi="Simplified Arabic" w:cs="AL-Hotham"/>
          <w:b/>
          <w:bCs/>
          <w:sz w:val="18"/>
          <w:szCs w:val="18"/>
          <w:rtl/>
        </w:rPr>
        <w:t>وَأَتِمُّواْ الْحَجَّ وَالْعُمْرَة</w:t>
      </w:r>
      <w:r w:rsidRPr="00067EB5">
        <w:rPr>
          <w:rFonts w:ascii="Simplified Arabic" w:hAnsi="Simplified Arabic" w:cs="AL-Hotham" w:hint="cs"/>
          <w:b/>
          <w:bCs/>
          <w:sz w:val="18"/>
          <w:szCs w:val="18"/>
          <w:rtl/>
        </w:rPr>
        <w:t>ُ</w:t>
      </w:r>
      <w:r w:rsidRPr="00067EB5">
        <w:rPr>
          <w:rFonts w:ascii="Simplified Arabic" w:hAnsi="Simplified Arabic" w:cs="AL-Hotham"/>
          <w:b/>
          <w:bCs/>
          <w:sz w:val="18"/>
          <w:szCs w:val="18"/>
          <w:rtl/>
        </w:rPr>
        <w:t xml:space="preserve"> لِلّهِ</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وهي قراءة شاذة بها قرأ الشعبي وأبو</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حيوة وأيضًا الأصمعي عن نافع، والقزاز عن أبي عمرو، والكسائي عن أبي جعفر، وهذه القراءة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قرأ بها ابن مسعود بخلف عنه، وأبي رزين والحسن البصري إذًا أنت عندك قراءتان في قوله</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lang w:bidi="ar-EG"/>
        </w:rPr>
        <w:t>{</w:t>
      </w:r>
      <w:r w:rsidRPr="00067EB5">
        <w:rPr>
          <w:rFonts w:ascii="QCF_P030" w:hAnsi="QCF_P030" w:cs="QCF_P030"/>
          <w:b/>
          <w:bCs/>
          <w:sz w:val="18"/>
          <w:szCs w:val="18"/>
          <w:rtl/>
        </w:rPr>
        <w:t>ﯔ ﯕ ﯖ</w:t>
      </w:r>
      <w:r w:rsidRPr="00067EB5">
        <w:rPr>
          <w:rFonts w:ascii="QCF_P030" w:hAnsi="QCF_P030" w:cs="DecoType Thuluth"/>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قرئت</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وقرئت</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والعمرةَ قراءة متواترة، والعمرةُ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قراءة شاذة. فما توجيه القراءتين مع بيان معناهما؟</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إن وجه قراءة النصب على أن</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مفعول به لقوله تعالى</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lang w:bidi="ar-EG"/>
        </w:rPr>
        <w:t>{</w:t>
      </w:r>
      <w:r w:rsidRPr="00067EB5">
        <w:rPr>
          <w:rFonts w:ascii="QCF_P030" w:hAnsi="QCF_P030" w:cs="QCF_P030"/>
          <w:b/>
          <w:bCs/>
          <w:sz w:val="18"/>
          <w:szCs w:val="18"/>
          <w:rtl/>
        </w:rPr>
        <w:t>ﮱ ﯓ ﯔ</w:t>
      </w:r>
      <w:r w:rsidRPr="00067EB5">
        <w:rPr>
          <w:rFonts w:ascii="QCF_P030" w:hAnsi="QCF_P030" w:cs="DecoType Thuluth"/>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والمعنى: أن الله</w:t>
      </w:r>
      <w:r w:rsidRPr="00067EB5">
        <w:rPr>
          <w:rFonts w:ascii="Simplified Arabic" w:hAnsi="Simplified Arabic" w:cs="AL-Hotham"/>
          <w:b/>
          <w:bCs/>
          <w:sz w:val="18"/>
          <w:szCs w:val="18"/>
          <w:rtl/>
          <w:lang w:bidi="ar-EG"/>
        </w:rPr>
        <w:t xml:space="preserve"> </w:t>
      </w:r>
      <w:r w:rsidRPr="00067EB5">
        <w:rPr>
          <w:rFonts w:ascii="AGA Arabesque" w:hAnsi="AGA Arabesque" w:cs="Simplified Arabic"/>
          <w:b/>
          <w:bCs/>
          <w:position w:val="-4"/>
          <w:sz w:val="18"/>
          <w:szCs w:val="18"/>
          <w:lang w:bidi="ar-EG"/>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أمر المؤمنين بإتمام الحج والعمرة، وأداء المناسك على الوجه الأكمل ابتغاء وجه الله</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تعالى؛ فالمراد</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بإتمام الحج والعمرة الإتيان بهما تامين كاملين؛ بمناسكهما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 xml:space="preserve">وشرائطهما ظاهرًا بأداء المناسك على وجهها، وباطنًا بالإخلاص لله </w:t>
      </w:r>
      <w:r w:rsidRPr="00067EB5">
        <w:rPr>
          <w:rFonts w:ascii="Simplified Arabic" w:hAnsi="Simplified Arabic" w:cs="Traditional Arabic"/>
          <w:b/>
          <w:bCs/>
          <w:sz w:val="18"/>
          <w:szCs w:val="18"/>
          <w:rtl/>
        </w:rPr>
        <w:t>-</w:t>
      </w:r>
      <w:r w:rsidRPr="00067EB5">
        <w:rPr>
          <w:rFonts w:ascii="Simplified Arabic" w:hAnsi="Simplified Arabic" w:cs="AL-Hotham"/>
          <w:b/>
          <w:bCs/>
          <w:sz w:val="18"/>
          <w:szCs w:val="18"/>
          <w:rtl/>
        </w:rPr>
        <w:t>جل وعلا</w:t>
      </w:r>
      <w:r w:rsidRPr="00067EB5">
        <w:rPr>
          <w:rFonts w:ascii="Simplified Arabic" w:hAnsi="Simplified Arabic" w:cs="Traditional Arabic"/>
          <w:b/>
          <w:bCs/>
          <w:sz w:val="18"/>
          <w:szCs w:val="18"/>
          <w:rtl/>
        </w:rPr>
        <w:t>-</w:t>
      </w:r>
      <w:r w:rsidRPr="00067EB5">
        <w:rPr>
          <w:rFonts w:ascii="Simplified Arabic" w:hAnsi="Simplified Arabic" w:cs="AL-Hotham"/>
          <w:b/>
          <w:bCs/>
          <w:sz w:val="18"/>
          <w:szCs w:val="18"/>
          <w:rtl/>
        </w:rPr>
        <w:t xml:space="preserve"> من غير رياء،</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ولا سمعة قال الشاعر</w:t>
      </w:r>
      <w:r w:rsidRPr="00067EB5">
        <w:rPr>
          <w:rFonts w:ascii="Simplified Arabic" w:hAnsi="Simplified Arabic" w:cs="AL-Hotham"/>
          <w:b/>
          <w:bCs/>
          <w:sz w:val="18"/>
          <w:szCs w:val="18"/>
          <w:rtl/>
          <w:lang w:bidi="ar-EG"/>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5"/>
        <w:gridCol w:w="539"/>
        <w:gridCol w:w="1904"/>
      </w:tblGrid>
      <w:tr w:rsidR="00067EB5" w:rsidRPr="00067EB5" w:rsidTr="00064B76">
        <w:trPr>
          <w:trHeight w:hRule="exact" w:val="510"/>
          <w:jc w:val="center"/>
        </w:trPr>
        <w:tc>
          <w:tcPr>
            <w:tcW w:w="2909" w:type="dxa"/>
            <w:shd w:val="clear" w:color="auto" w:fill="auto"/>
            <w:vAlign w:val="center"/>
          </w:tcPr>
          <w:p w:rsidR="00067EB5" w:rsidRPr="00067EB5" w:rsidRDefault="00067EB5" w:rsidP="00067EB5">
            <w:pPr>
              <w:jc w:val="both"/>
              <w:rPr>
                <w:rFonts w:cs="AGA Furat Regular"/>
                <w:b/>
                <w:bCs/>
                <w:sz w:val="18"/>
                <w:szCs w:val="18"/>
                <w:rtl/>
              </w:rPr>
            </w:pPr>
            <w:r w:rsidRPr="00067EB5">
              <w:rPr>
                <w:rFonts w:cs="AGA Furat Regular"/>
                <w:b/>
                <w:bCs/>
                <w:sz w:val="18"/>
                <w:szCs w:val="18"/>
                <w:rtl/>
              </w:rPr>
              <w:t>إذا حججت بمال أصله سحت</w:t>
            </w:r>
            <w:r w:rsidRPr="00067EB5">
              <w:rPr>
                <w:rFonts w:cs="AGA Furat Regular"/>
                <w:b/>
                <w:bCs/>
                <w:sz w:val="18"/>
                <w:szCs w:val="18"/>
                <w:rtl/>
              </w:rPr>
              <w:br/>
            </w:r>
          </w:p>
        </w:tc>
        <w:tc>
          <w:tcPr>
            <w:tcW w:w="709" w:type="dxa"/>
            <w:shd w:val="clear" w:color="auto" w:fill="auto"/>
            <w:vAlign w:val="center"/>
          </w:tcPr>
          <w:p w:rsidR="00067EB5" w:rsidRPr="00067EB5" w:rsidRDefault="00067EB5" w:rsidP="00067EB5">
            <w:pPr>
              <w:jc w:val="center"/>
              <w:rPr>
                <w:rFonts w:cs="AL-Hotham" w:hint="cs"/>
                <w:b/>
                <w:bCs/>
                <w:sz w:val="18"/>
                <w:szCs w:val="18"/>
                <w:rtl/>
              </w:rPr>
            </w:pPr>
            <w:r w:rsidRPr="00067EB5">
              <w:rPr>
                <w:rFonts w:cs="AL-Hotham" w:hint="cs"/>
                <w:b/>
                <w:bCs/>
                <w:sz w:val="18"/>
                <w:szCs w:val="18"/>
                <w:rtl/>
              </w:rPr>
              <w:t>*</w:t>
            </w:r>
          </w:p>
        </w:tc>
        <w:tc>
          <w:tcPr>
            <w:tcW w:w="2909" w:type="dxa"/>
            <w:shd w:val="clear" w:color="auto" w:fill="auto"/>
            <w:vAlign w:val="center"/>
          </w:tcPr>
          <w:p w:rsidR="00067EB5" w:rsidRPr="00067EB5" w:rsidRDefault="00067EB5" w:rsidP="00067EB5">
            <w:pPr>
              <w:jc w:val="both"/>
              <w:rPr>
                <w:rFonts w:cs="AGA Furat Regular" w:hint="cs"/>
                <w:b/>
                <w:bCs/>
                <w:sz w:val="18"/>
                <w:szCs w:val="18"/>
                <w:rtl/>
              </w:rPr>
            </w:pPr>
            <w:r w:rsidRPr="00067EB5">
              <w:rPr>
                <w:rFonts w:cs="AGA Furat Regular"/>
                <w:b/>
                <w:bCs/>
                <w:sz w:val="18"/>
                <w:szCs w:val="18"/>
                <w:rtl/>
              </w:rPr>
              <w:t>فما حججت ولكن حجت العير</w:t>
            </w:r>
            <w:r w:rsidRPr="00067EB5">
              <w:rPr>
                <w:rFonts w:cs="AGA Furat Regular"/>
                <w:b/>
                <w:bCs/>
                <w:sz w:val="18"/>
                <w:szCs w:val="18"/>
                <w:rtl/>
              </w:rPr>
              <w:br/>
            </w:r>
          </w:p>
        </w:tc>
      </w:tr>
      <w:tr w:rsidR="00067EB5" w:rsidRPr="00067EB5" w:rsidTr="00064B76">
        <w:trPr>
          <w:trHeight w:hRule="exact" w:val="510"/>
          <w:jc w:val="center"/>
        </w:trPr>
        <w:tc>
          <w:tcPr>
            <w:tcW w:w="2909" w:type="dxa"/>
            <w:shd w:val="clear" w:color="auto" w:fill="auto"/>
            <w:vAlign w:val="center"/>
          </w:tcPr>
          <w:p w:rsidR="00067EB5" w:rsidRPr="00067EB5" w:rsidRDefault="00067EB5" w:rsidP="00067EB5">
            <w:pPr>
              <w:jc w:val="both"/>
              <w:rPr>
                <w:rFonts w:cs="AGA Furat Regular"/>
                <w:b/>
                <w:bCs/>
                <w:sz w:val="18"/>
                <w:szCs w:val="18"/>
                <w:rtl/>
              </w:rPr>
            </w:pPr>
            <w:r w:rsidRPr="00067EB5">
              <w:rPr>
                <w:rFonts w:cs="AGA Furat Regular"/>
                <w:b/>
                <w:bCs/>
                <w:sz w:val="18"/>
                <w:szCs w:val="18"/>
                <w:rtl/>
              </w:rPr>
              <w:t>لا يقبل الله إلا كل خالصة</w:t>
            </w:r>
            <w:r w:rsidRPr="00067EB5">
              <w:rPr>
                <w:rFonts w:cs="AGA Furat Regular"/>
                <w:b/>
                <w:bCs/>
                <w:sz w:val="18"/>
                <w:szCs w:val="18"/>
                <w:rtl/>
              </w:rPr>
              <w:br/>
            </w:r>
          </w:p>
        </w:tc>
        <w:tc>
          <w:tcPr>
            <w:tcW w:w="709" w:type="dxa"/>
            <w:shd w:val="clear" w:color="auto" w:fill="auto"/>
            <w:vAlign w:val="center"/>
          </w:tcPr>
          <w:p w:rsidR="00067EB5" w:rsidRPr="00067EB5" w:rsidRDefault="00067EB5" w:rsidP="00067EB5">
            <w:pPr>
              <w:jc w:val="center"/>
              <w:rPr>
                <w:rFonts w:cs="AL-Hotham" w:hint="cs"/>
                <w:b/>
                <w:bCs/>
                <w:sz w:val="18"/>
                <w:szCs w:val="18"/>
                <w:rtl/>
              </w:rPr>
            </w:pPr>
            <w:r w:rsidRPr="00067EB5">
              <w:rPr>
                <w:rFonts w:cs="AL-Hotham" w:hint="cs"/>
                <w:b/>
                <w:bCs/>
                <w:sz w:val="18"/>
                <w:szCs w:val="18"/>
                <w:rtl/>
              </w:rPr>
              <w:t>*</w:t>
            </w:r>
          </w:p>
        </w:tc>
        <w:tc>
          <w:tcPr>
            <w:tcW w:w="2909" w:type="dxa"/>
            <w:shd w:val="clear" w:color="auto" w:fill="auto"/>
            <w:vAlign w:val="center"/>
          </w:tcPr>
          <w:p w:rsidR="00067EB5" w:rsidRPr="00067EB5" w:rsidRDefault="00067EB5" w:rsidP="00067EB5">
            <w:pPr>
              <w:jc w:val="both"/>
              <w:rPr>
                <w:rFonts w:cs="AGA Furat Regular" w:hint="cs"/>
                <w:b/>
                <w:bCs/>
                <w:sz w:val="18"/>
                <w:szCs w:val="18"/>
                <w:rtl/>
              </w:rPr>
            </w:pPr>
            <w:r w:rsidRPr="00067EB5">
              <w:rPr>
                <w:rFonts w:cs="AGA Furat Regular"/>
                <w:b/>
                <w:bCs/>
                <w:sz w:val="18"/>
                <w:szCs w:val="18"/>
                <w:rtl/>
              </w:rPr>
              <w:t>ما كل من حج بيت الله مبرور</w:t>
            </w:r>
            <w:r w:rsidRPr="00067EB5">
              <w:rPr>
                <w:rFonts w:cs="AGA Furat Regular"/>
                <w:b/>
                <w:bCs/>
                <w:sz w:val="18"/>
                <w:szCs w:val="18"/>
                <w:rtl/>
              </w:rPr>
              <w:br/>
            </w:r>
          </w:p>
        </w:tc>
      </w:tr>
    </w:tbl>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وأما القراءة التي جاءت بالرفع</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العمرةُ</w:t>
      </w:r>
      <w:r w:rsidRPr="00067EB5">
        <w:rPr>
          <w:rFonts w:ascii="Simplified Arabic" w:hAnsi="Simplified Arabic" w:cs="AL-Hotham"/>
          <w:b/>
          <w:bCs/>
          <w:sz w:val="18"/>
          <w:szCs w:val="18"/>
          <w:rtl/>
          <w:lang w:bidi="ar-EG"/>
        </w:rPr>
        <w:t>"</w:t>
      </w:r>
      <w:r w:rsidRPr="00067EB5">
        <w:rPr>
          <w:rFonts w:ascii="Simplified Arabic" w:hAnsi="Simplified Arabic" w:cs="AL-Hotham"/>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وأتموا الحج والعمرةُ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لله</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فعلى القطع والاستئناف؛ أي: أن الله</w:t>
      </w:r>
      <w:r w:rsidRPr="00067EB5">
        <w:rPr>
          <w:rFonts w:ascii="Simplified Arabic" w:hAnsi="Simplified Arabic" w:cs="AL-Hotham"/>
          <w:b/>
          <w:bCs/>
          <w:sz w:val="18"/>
          <w:szCs w:val="18"/>
          <w:rtl/>
          <w:lang w:bidi="ar-EG"/>
        </w:rPr>
        <w:t xml:space="preserve"> </w:t>
      </w:r>
      <w:r w:rsidRPr="00067EB5">
        <w:rPr>
          <w:rFonts w:ascii="Simplified Arabic" w:hAnsi="Simplified Arabic" w:cs="Traditional Arabic"/>
          <w:b/>
          <w:bCs/>
          <w:sz w:val="18"/>
          <w:szCs w:val="18"/>
          <w:rtl/>
          <w:lang w:bidi="ar-EG"/>
        </w:rPr>
        <w:t>-</w:t>
      </w:r>
      <w:r w:rsidRPr="00067EB5">
        <w:rPr>
          <w:rFonts w:ascii="Simplified Arabic" w:hAnsi="Simplified Arabic" w:cs="AL-Hotham"/>
          <w:b/>
          <w:bCs/>
          <w:sz w:val="18"/>
          <w:szCs w:val="18"/>
          <w:rtl/>
        </w:rPr>
        <w:t>جل وعلا</w:t>
      </w:r>
      <w:r w:rsidRPr="00067EB5">
        <w:rPr>
          <w:rFonts w:ascii="Simplified Arabic" w:hAnsi="Simplified Arabic" w:cs="Traditional Arabic"/>
          <w:b/>
          <w:bCs/>
          <w:sz w:val="18"/>
          <w:szCs w:val="18"/>
          <w:rtl/>
        </w:rPr>
        <w:t>-</w:t>
      </w:r>
      <w:r w:rsidRPr="00067EB5">
        <w:rPr>
          <w:rFonts w:ascii="Simplified Arabic" w:hAnsi="Simplified Arabic" w:cs="AL-Hotham"/>
          <w:b/>
          <w:bCs/>
          <w:sz w:val="18"/>
          <w:szCs w:val="18"/>
          <w:rtl/>
        </w:rPr>
        <w:t xml:space="preserve"> يأمر عباده المؤمنين بإتمام الحج بمناسكه،</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وشعائره، ثم يستأنف كلامًا جديدًا يُخبر به قائلًا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العمرةُ لله</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اختلف الفقهاء في حكم أداء العمرة؛ هل هي واجبة كالحج أو ليست واجبة،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بل هي سنة؟ فقد أفادت القراءة المتواترة وجوب العمرة؛ وذلك لأن لفظ العمرة في الآية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الكريمة معطوف على الحج، والأصل التساوي بين المعطوف والمعطوف عليه؛ بينما أفادت</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قراءة الرفع وهي القراءة الشاذة أنّ العمرة ليست واجبة بل هي سنة، وذلك لأنّ الرفع في</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العمرة على الاستئناف</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منشأ الاختلاف: ويئول منشأ هذا الاختلاف الفقهي إلى أمرين</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الأمر الأول: اختلاف القراءتين الواردتين في الآية الكريمة؛ حيث جاءت إحداهما بالنصب</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عطفًا على الحج، وهي قراءة الجمهور، وأما القراءة الثانية فقد جاءت بالرفع على ابتداء</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الحكم، وكذلك عدم ذكر العمرة في الآيات التي دلت على فريضة الحج</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الأمر الثاني: تعارض</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ظاهر بعض الأحاديث والآثار في حكم أداء العمرة، وفيما يلي بيان مذاهب الفقهاء مع</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ذكر الأدلة لكل مذهب</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lastRenderedPageBreak/>
        <w:t>أولًا: مذهب الشافعية، والحنابلة، وابن جهم من المالكية: ذهب هؤلاء</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إلى أنّ العمرة واجبة كالحج. وهو مروي عن علي، وابن عمر، وابن عباس وعطاء، وطاوس</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ومجاهد وغيرهم؛ وأيضًا روي عن أبي حنيفة الوجوب</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واستدلوا على مذهبهم بما يلي</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أولًا: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بقراءة الجمهور</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lang w:bidi="ar-EG"/>
        </w:rPr>
        <w:t>{</w:t>
      </w:r>
      <w:r w:rsidRPr="00067EB5">
        <w:rPr>
          <w:rFonts w:ascii="QCF_P030" w:hAnsi="QCF_P030" w:cs="QCF_P030"/>
          <w:b/>
          <w:bCs/>
          <w:sz w:val="18"/>
          <w:szCs w:val="18"/>
          <w:rtl/>
        </w:rPr>
        <w:t>ﮱ ﯓ ﯔ ﯕ ﯖ</w:t>
      </w:r>
      <w:r w:rsidRPr="00067EB5">
        <w:rPr>
          <w:rFonts w:ascii="QCF_P030" w:hAnsi="QCF_P030" w:cs="DecoType Thuluth"/>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فقد أمرت الآية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الكريمة بالإتمام، وهو فعل الشيء والإتيان به كاملًا تامًّا؛ فدل ذلك على الوجوب</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ثانيًا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 xml:space="preserve">ما ثبت عن النبي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في الصحيح أنه قال لأصحابه</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من كان معه هدي فليهل بحجة وعمرة</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 xml:space="preserve">ثالثًا: ما روي عنه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قال</w:t>
      </w:r>
      <w:r w:rsidRPr="00067EB5">
        <w:rPr>
          <w:rFonts w:ascii="Simplified Arabic" w:hAnsi="Simplified Arabic" w:cs="AL-Hotham"/>
          <w:b/>
          <w:bCs/>
          <w:sz w:val="18"/>
          <w:szCs w:val="18"/>
          <w:rtl/>
          <w:lang w:bidi="ar-EG"/>
        </w:rPr>
        <w:t>: ((</w:t>
      </w:r>
      <w:r w:rsidRPr="00067EB5">
        <w:rPr>
          <w:rFonts w:ascii="Simplified Arabic" w:hAnsi="Simplified Arabic" w:cs="AL-Hotham"/>
          <w:b/>
          <w:bCs/>
          <w:sz w:val="18"/>
          <w:szCs w:val="18"/>
          <w:rtl/>
        </w:rPr>
        <w:t>دخلت العمرة في الحج إلى يوم القيامة</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رابعًا: ما روي عن</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 xml:space="preserve">النبي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أنه قال</w:t>
      </w:r>
      <w:r w:rsidRPr="00067EB5">
        <w:rPr>
          <w:rFonts w:ascii="Simplified Arabic" w:hAnsi="Simplified Arabic" w:cs="AL-Hotham"/>
          <w:b/>
          <w:bCs/>
          <w:sz w:val="18"/>
          <w:szCs w:val="18"/>
          <w:rtl/>
          <w:lang w:bidi="ar-EG"/>
        </w:rPr>
        <w:t>: ((</w:t>
      </w:r>
      <w:r w:rsidRPr="00067EB5">
        <w:rPr>
          <w:rFonts w:ascii="Simplified Arabic" w:hAnsi="Simplified Arabic" w:cs="AL-Hotham"/>
          <w:b/>
          <w:bCs/>
          <w:sz w:val="18"/>
          <w:szCs w:val="18"/>
          <w:rtl/>
        </w:rPr>
        <w:t>إن الحج</w:t>
      </w:r>
      <w:r w:rsidRPr="00067EB5">
        <w:rPr>
          <w:rFonts w:ascii="Simplified Arabic" w:hAnsi="Simplified Arabic" w:cs="AL-Hotham"/>
          <w:b/>
          <w:bCs/>
          <w:sz w:val="18"/>
          <w:szCs w:val="18"/>
          <w:rtl/>
          <w:lang w:bidi="ar-EG"/>
        </w:rPr>
        <w:t xml:space="preserve"> </w:t>
      </w:r>
      <w:r w:rsidRPr="00067EB5">
        <w:rPr>
          <w:rFonts w:ascii="Simplified Arabic" w:hAnsi="Simplified Arabic" w:cs="AL-Hotham" w:hint="cs"/>
          <w:b/>
          <w:bCs/>
          <w:sz w:val="18"/>
          <w:szCs w:val="18"/>
          <w:rtl/>
          <w:lang w:bidi="ar-EG"/>
        </w:rPr>
        <w:t>و</w:t>
      </w:r>
      <w:r w:rsidRPr="00067EB5">
        <w:rPr>
          <w:rFonts w:ascii="Simplified Arabic" w:hAnsi="Simplified Arabic" w:cs="AL-Hotham"/>
          <w:b/>
          <w:bCs/>
          <w:sz w:val="18"/>
          <w:szCs w:val="18"/>
          <w:rtl/>
        </w:rPr>
        <w:t>العمرة فريضتان لا يضرك بأيهما بدأت</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ثانيًا: مذهب الحنفية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والمالكية: إذًا ما ذكرناه هو مذهب الشافعية والحنابلة وابن جهم من المالكية والآن</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لننتقل إلى مذهب الأحناف والمالكية: ذهب الحنفية والمالكية إلى أن العمرة سُنّة وليست</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 xml:space="preserve">واجبة. وهو مروي عن ابن مسعود، وجابر بن عبد الله </w:t>
      </w:r>
      <w:r w:rsidRPr="00067EB5">
        <w:rPr>
          <w:rFonts w:cs="SC_ALYERMOOK" w:hint="cs"/>
          <w:b/>
          <w:bCs/>
          <w:position w:val="-4"/>
          <w:sz w:val="18"/>
          <w:szCs w:val="18"/>
          <w:rtl/>
        </w:rPr>
        <w:t>{</w:t>
      </w:r>
      <w:r w:rsidRPr="00067EB5">
        <w:rPr>
          <w:rFonts w:ascii="Simplified Arabic" w:hAnsi="Simplified Arabic" w:cs="AL-Hotham"/>
          <w:b/>
          <w:bCs/>
          <w:sz w:val="18"/>
          <w:szCs w:val="18"/>
          <w:rtl/>
        </w:rPr>
        <w:t xml:space="preserve"> واستدل هؤلاء</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على مذهبهم بما يلي</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أولًا: عدم ذكر العمرة في الآيات التي دلت على فريضة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الحج؛ مثل قوله تعالى</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rPr>
        <w:t>{</w:t>
      </w:r>
      <w:r w:rsidRPr="00067EB5">
        <w:rPr>
          <w:rFonts w:ascii="QCF_P062" w:hAnsi="QCF_P062" w:cs="QCF_P062"/>
          <w:b/>
          <w:bCs/>
          <w:sz w:val="18"/>
          <w:szCs w:val="18"/>
          <w:rtl/>
        </w:rPr>
        <w:t>ﮬ ﮭ ﮮ ﮯ ﮰ</w:t>
      </w:r>
      <w:r w:rsidRPr="00067EB5">
        <w:rPr>
          <w:rFonts w:ascii="QCF_P062" w:hAnsi="QCF_P062" w:cs="DecoType Thuluth"/>
          <w:b/>
          <w:bCs/>
          <w:sz w:val="18"/>
          <w:szCs w:val="18"/>
          <w:rtl/>
        </w:rPr>
        <w:t>}</w:t>
      </w:r>
      <w:r w:rsidRPr="00067EB5">
        <w:rPr>
          <w:rFonts w:ascii="Simplified Arabic" w:hAnsi="Simplified Arabic" w:cs="AL-Hotham"/>
          <w:b/>
          <w:bCs/>
          <w:sz w:val="18"/>
          <w:szCs w:val="18"/>
          <w:rtl/>
        </w:rPr>
        <w:t xml:space="preserve"> [آل عمران:97] وقوله جل ثناؤه</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rPr>
        <w:t>{</w:t>
      </w:r>
      <w:r w:rsidRPr="00067EB5">
        <w:rPr>
          <w:rFonts w:ascii="QCF_P335" w:hAnsi="QCF_P335" w:cs="QCF_P335"/>
          <w:b/>
          <w:bCs/>
          <w:sz w:val="18"/>
          <w:szCs w:val="18"/>
          <w:rtl/>
        </w:rPr>
        <w:t>ﮇ ﮈ ﮉ ﮊ ﮋ ﮌ</w:t>
      </w:r>
      <w:r w:rsidRPr="00067EB5">
        <w:rPr>
          <w:rFonts w:ascii="QCF_P335" w:hAnsi="QCF_P335" w:cs="DecoType Thuluth"/>
          <w:b/>
          <w:bCs/>
          <w:sz w:val="18"/>
          <w:szCs w:val="18"/>
          <w:rtl/>
        </w:rPr>
        <w:t>}</w:t>
      </w:r>
      <w:r w:rsidRPr="00067EB5">
        <w:rPr>
          <w:rFonts w:ascii="Simplified Arabic" w:hAnsi="Simplified Arabic" w:cs="AL-Hotham"/>
          <w:b/>
          <w:bCs/>
          <w:sz w:val="18"/>
          <w:szCs w:val="18"/>
          <w:rtl/>
        </w:rPr>
        <w:t xml:space="preserve"> [الحج:27]</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ثانيًا: قالوا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إن الأحاديث الصحيحة التي بينت قواعد الإسلام، لم يرد فيها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ذكر العُمرة، فدل ذلك على أن العمرة ليست بفريضة، وأنها تختلف في</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الحكم عن الحج</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ثالثًا: واستدلوا أيضًا بقراءة الرفع قال القرطبي: قرأ الشعبي وأبو حيوة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برفع التاء في العمرة، وهي تدل على عدم الوجوب</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 xml:space="preserve">رابعًا: ما روي عن النبي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أنه قال</w:t>
      </w:r>
      <w:r w:rsidRPr="00067EB5">
        <w:rPr>
          <w:rFonts w:ascii="Simplified Arabic" w:hAnsi="Simplified Arabic" w:cs="AL-Hotham"/>
          <w:b/>
          <w:bCs/>
          <w:sz w:val="18"/>
          <w:szCs w:val="18"/>
          <w:rtl/>
          <w:lang w:bidi="ar-EG"/>
        </w:rPr>
        <w:t>: ((</w:t>
      </w:r>
      <w:r w:rsidRPr="00067EB5">
        <w:rPr>
          <w:rFonts w:ascii="Simplified Arabic" w:hAnsi="Simplified Arabic" w:cs="AL-Hotham"/>
          <w:b/>
          <w:bCs/>
          <w:sz w:val="18"/>
          <w:szCs w:val="18"/>
          <w:rtl/>
        </w:rPr>
        <w:t>الحج جهاد والعمرة تطوع</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lowKashida"/>
        <w:rPr>
          <w:rFonts w:ascii="Simplified Arabic" w:hAnsi="Simplified Arabic" w:cs="AL-Hotham"/>
          <w:b/>
          <w:bCs/>
          <w:sz w:val="18"/>
          <w:szCs w:val="18"/>
          <w:lang w:bidi="ar-EG"/>
        </w:rPr>
      </w:pPr>
      <w:r w:rsidRPr="00067EB5">
        <w:rPr>
          <w:rFonts w:ascii="Simplified Arabic" w:hAnsi="Simplified Arabic" w:cs="AL-Hotham"/>
          <w:b/>
          <w:bCs/>
          <w:sz w:val="18"/>
          <w:szCs w:val="18"/>
          <w:rtl/>
        </w:rPr>
        <w:t xml:space="preserve">خامسًا: ما رُوي عن جابر بن عبد الله أن رجلًا سأل رسول الله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عن</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العمرة</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أواجبة هي؟ قال: لا، وأن تعتمر فهو أفضل</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والآن نأتي على التوفيق بين مذاهب</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الفقهاء وآرائهم أقول لك: توفيقًا بين مذاهب</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الفقهاء وبين آراء الفقهاء أقول</w:t>
      </w:r>
      <w:r w:rsidRPr="00067EB5">
        <w:rPr>
          <w:rFonts w:ascii="Simplified Arabic" w:hAnsi="Simplified Arabic" w:cs="AL-Hotham"/>
          <w:b/>
          <w:bCs/>
          <w:sz w:val="18"/>
          <w:szCs w:val="18"/>
          <w:rtl/>
          <w:lang w:bidi="ar-EG"/>
        </w:rPr>
        <w:t>:</w:t>
      </w:r>
    </w:p>
    <w:p w:rsidR="00067EB5" w:rsidRPr="00067EB5" w:rsidRDefault="00067EB5" w:rsidP="00067EB5">
      <w:pPr>
        <w:pStyle w:val="NormalWeb"/>
        <w:bidi/>
        <w:spacing w:before="0" w:beforeAutospacing="0" w:after="0" w:afterAutospacing="0"/>
        <w:jc w:val="both"/>
        <w:rPr>
          <w:rFonts w:ascii="Simplified Arabic" w:hAnsi="Simplified Arabic" w:cs="AL-Hotham"/>
          <w:b/>
          <w:bCs/>
          <w:sz w:val="18"/>
          <w:szCs w:val="18"/>
          <w:lang w:bidi="ar-EG"/>
        </w:rPr>
      </w:pPr>
      <w:r w:rsidRPr="00067EB5">
        <w:rPr>
          <w:rFonts w:ascii="Simplified Arabic" w:hAnsi="Simplified Arabic" w:cs="AL-Hotham"/>
          <w:b/>
          <w:bCs/>
          <w:sz w:val="18"/>
          <w:szCs w:val="18"/>
          <w:rtl/>
        </w:rPr>
        <w:t>إنّ</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قراءة الجمهور بالنصب</w:t>
      </w:r>
      <w:r w:rsidRPr="00067EB5">
        <w:rPr>
          <w:rFonts w:ascii="Simplified Arabic" w:hAnsi="Simplified Arabic" w:cs="AL-Hotham"/>
          <w:b/>
          <w:bCs/>
          <w:sz w:val="18"/>
          <w:szCs w:val="18"/>
          <w:rtl/>
          <w:lang w:bidi="ar-EG"/>
        </w:rPr>
        <w:t xml:space="preserve">: </w:t>
      </w:r>
      <w:r w:rsidRPr="00067EB5">
        <w:rPr>
          <w:rFonts w:ascii="Simplified Arabic" w:hAnsi="Simplified Arabic" w:cs="DecoType Thuluth"/>
          <w:b/>
          <w:bCs/>
          <w:sz w:val="18"/>
          <w:szCs w:val="18"/>
          <w:rtl/>
          <w:lang w:bidi="ar-EG"/>
        </w:rPr>
        <w:t>{</w:t>
      </w:r>
      <w:r w:rsidRPr="00067EB5">
        <w:rPr>
          <w:rFonts w:ascii="QCF_P030" w:hAnsi="QCF_P030" w:cs="QCF_P030"/>
          <w:b/>
          <w:bCs/>
          <w:sz w:val="18"/>
          <w:szCs w:val="18"/>
          <w:rtl/>
        </w:rPr>
        <w:t>ﮱ ﯓ ﯔ ﯕ ﯖ</w:t>
      </w:r>
      <w:r w:rsidRPr="00067EB5">
        <w:rPr>
          <w:rFonts w:ascii="QCF_P030" w:hAnsi="QCF_P030" w:cs="DecoType Thuluth"/>
          <w:b/>
          <w:bCs/>
          <w:sz w:val="18"/>
          <w:szCs w:val="18"/>
          <w:rtl/>
        </w:rPr>
        <w:t>}</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وكذلك الآثار</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الواردة في الدلالة على وجوب العُمرة تفيد أداء الفعل بعد الشروع فيه؛ فإنّ التعبير</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بالإتمام مشعر بأنه كان قد شرع فيه، وهذا يجب بالاتفاق؛ أما قبل الشروع في الفعل، فلا</w:t>
      </w:r>
      <w:r w:rsidRPr="00067EB5">
        <w:rPr>
          <w:rFonts w:ascii="Simplified Arabic" w:hAnsi="Simplified Arabic" w:cs="AL-Hotham"/>
          <w:b/>
          <w:bCs/>
          <w:sz w:val="18"/>
          <w:szCs w:val="18"/>
          <w:rtl/>
          <w:lang w:bidi="ar-EG"/>
        </w:rPr>
        <w:t xml:space="preserve"> </w:t>
      </w:r>
      <w:r w:rsidRPr="00067EB5">
        <w:rPr>
          <w:rFonts w:ascii="Simplified Arabic" w:hAnsi="Simplified Arabic" w:cs="AL-Hotham"/>
          <w:b/>
          <w:bCs/>
          <w:sz w:val="18"/>
          <w:szCs w:val="18"/>
          <w:rtl/>
        </w:rPr>
        <w:t>يفيد ذلك معنى الوجوب</w:t>
      </w:r>
      <w:r w:rsidRPr="00067EB5">
        <w:rPr>
          <w:rFonts w:ascii="Simplified Arabic" w:hAnsi="Simplified Arabic" w:cs="AL-Hotham"/>
          <w:b/>
          <w:bCs/>
          <w:sz w:val="18"/>
          <w:szCs w:val="18"/>
          <w:rtl/>
          <w:lang w:bidi="ar-EG"/>
        </w:rPr>
        <w:t>.</w:t>
      </w:r>
    </w:p>
    <w:p w:rsidR="00067EB5" w:rsidRPr="00067EB5" w:rsidRDefault="00067EB5" w:rsidP="00067EB5">
      <w:pPr>
        <w:jc w:val="center"/>
        <w:rPr>
          <w:rFonts w:asciiTheme="majorBidi" w:eastAsia="Calibri" w:hAnsiTheme="majorBidi" w:cstheme="majorBidi" w:hint="cs"/>
          <w:b/>
          <w:bCs/>
          <w:sz w:val="18"/>
          <w:szCs w:val="18"/>
          <w:rtl/>
          <w:lang w:bidi="ar-SA"/>
        </w:rPr>
      </w:pPr>
      <w:r w:rsidRPr="00067EB5">
        <w:rPr>
          <w:rFonts w:ascii="Simplified Arabic" w:hAnsi="Simplified Arabic" w:cs="AL-Hotham"/>
          <w:b/>
          <w:bCs/>
          <w:sz w:val="18"/>
          <w:szCs w:val="18"/>
          <w:rtl/>
        </w:rPr>
        <w:t xml:space="preserve">أما قراءة الرفع: "وَأَتِمُّواْ الْحَجَّ وَالْعُمْرَةُ لِلّهِ" وكذلك بعض الآثار تشير إلى أن أداء العمرة ليس واجبًا، وإنما أداؤها على سبيل التطوع، وأنّ ما ورد من آثار يفيد ظاهرها وجوب أداء العمرة فهي محمولة على التأكيد، وليس الوجوب كما أن أركان الإسلام لم يذكر فيها وجوب العمرة فدل ذلك على أن العمرة سنة، وكذلك فعل النبي </w:t>
      </w:r>
      <w:r w:rsidRPr="00067EB5">
        <w:rPr>
          <w:rFonts w:ascii="AGA Arabesque" w:hAnsi="AGA Arabesque" w:cs="Simplified Arabic"/>
          <w:b/>
          <w:bCs/>
          <w:position w:val="-4"/>
          <w:sz w:val="18"/>
          <w:szCs w:val="18"/>
        </w:rPr>
        <w:t></w:t>
      </w:r>
      <w:r w:rsidRPr="00067EB5">
        <w:rPr>
          <w:rFonts w:ascii="Simplified Arabic" w:hAnsi="Simplified Arabic" w:cs="AL-Hotham"/>
          <w:b/>
          <w:bCs/>
          <w:sz w:val="18"/>
          <w:szCs w:val="18"/>
          <w:rtl/>
        </w:rPr>
        <w:t xml:space="preserve"> لها يدل على تأكيدها، والله أعلم</w:t>
      </w:r>
    </w:p>
    <w:p w:rsidR="00067EB5" w:rsidRPr="00067EB5" w:rsidRDefault="00067EB5" w:rsidP="00067EB5">
      <w:pPr>
        <w:jc w:val="lowKashida"/>
        <w:rPr>
          <w:rFonts w:asciiTheme="majorBidi" w:hAnsiTheme="majorBidi" w:cstheme="majorBidi" w:hint="cs"/>
          <w:b/>
          <w:bCs/>
          <w:sz w:val="18"/>
          <w:szCs w:val="18"/>
          <w:rtl/>
        </w:rPr>
      </w:pPr>
    </w:p>
    <w:p w:rsidR="00067EB5" w:rsidRPr="00067EB5" w:rsidRDefault="00067EB5" w:rsidP="00067EB5">
      <w:pPr>
        <w:jc w:val="lowKashida"/>
        <w:rPr>
          <w:rFonts w:asciiTheme="majorBidi" w:hAnsiTheme="majorBidi" w:cstheme="majorBidi" w:hint="cs"/>
          <w:b/>
          <w:bCs/>
          <w:sz w:val="18"/>
          <w:szCs w:val="18"/>
        </w:rPr>
      </w:pPr>
      <w:r w:rsidRPr="00067EB5">
        <w:rPr>
          <w:rFonts w:asciiTheme="majorBidi" w:hAnsiTheme="majorBidi" w:cstheme="majorBidi" w:hint="cs"/>
          <w:b/>
          <w:bCs/>
          <w:sz w:val="18"/>
          <w:szCs w:val="18"/>
          <w:rtl/>
        </w:rPr>
        <w:t>المراجع والمصادر</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(المحتسب في تبيين وجوه شواذ القراءات والإيضاح عنها) </w:t>
      </w:r>
    </w:p>
    <w:p w:rsidR="00067EB5" w:rsidRPr="00067EB5" w:rsidRDefault="00067EB5" w:rsidP="00067EB5">
      <w:pPr>
        <w:ind w:left="463"/>
        <w:jc w:val="lowKashida"/>
        <w:rPr>
          <w:rFonts w:asciiTheme="majorBidi" w:hAnsiTheme="majorBidi" w:cstheme="majorBidi"/>
          <w:b/>
          <w:bCs/>
          <w:sz w:val="18"/>
          <w:szCs w:val="18"/>
        </w:rPr>
      </w:pPr>
      <w:r w:rsidRPr="00067EB5">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(مرشد الأعزة في بيان موقف العلماء من القراءات الشاذة)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lastRenderedPageBreak/>
        <w:t>عبد الكريم إبراهيم صالح،  دار المحدثين, 2006م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Pr>
        <w:t>)</w:t>
      </w:r>
      <w:r w:rsidRPr="00067EB5">
        <w:rPr>
          <w:rFonts w:asciiTheme="majorBidi" w:hAnsiTheme="majorBidi" w:cstheme="majorBidi"/>
          <w:b/>
          <w:bCs/>
          <w:sz w:val="18"/>
          <w:szCs w:val="18"/>
          <w:rtl/>
        </w:rPr>
        <w:t xml:space="preserve">إعراب القراءات الشواذ) </w:t>
      </w:r>
    </w:p>
    <w:p w:rsidR="00067EB5" w:rsidRPr="00067EB5" w:rsidRDefault="00067EB5" w:rsidP="00067EB5">
      <w:pPr>
        <w:ind w:left="567"/>
        <w:jc w:val="lowKashida"/>
        <w:rPr>
          <w:rFonts w:asciiTheme="majorBidi" w:hAnsiTheme="majorBidi" w:cstheme="majorBidi"/>
          <w:b/>
          <w:bCs/>
          <w:sz w:val="18"/>
          <w:szCs w:val="18"/>
        </w:rPr>
      </w:pPr>
      <w:r w:rsidRPr="00067EB5">
        <w:rPr>
          <w:rFonts w:asciiTheme="majorBidi" w:hAnsiTheme="majorBidi" w:cstheme="majorBidi"/>
          <w:b/>
          <w:bCs/>
          <w:sz w:val="18"/>
          <w:szCs w:val="18"/>
          <w:rtl/>
        </w:rPr>
        <w:t>أبو البقاء العكبري،  بتحقيق محمد السيد أحمد عزوز،  عالم الكتب, 1996م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(الاختلاف بين القراءات)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أحمد البيلي،  بيروت، دار الجبل، 1988م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(القراءات الشاذة وتوجيهها النحوي)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محمود أحمد الصغير، بيروت، دار الفكر المعاصر, 1999م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(كتاب المصاحف) </w:t>
      </w:r>
    </w:p>
    <w:p w:rsidR="00067EB5" w:rsidRPr="00067EB5" w:rsidRDefault="00067EB5" w:rsidP="00067EB5">
      <w:pPr>
        <w:ind w:left="567"/>
        <w:jc w:val="lowKashida"/>
        <w:rPr>
          <w:rFonts w:asciiTheme="majorBidi" w:hAnsiTheme="majorBidi" w:cstheme="majorBidi"/>
          <w:b/>
          <w:bCs/>
          <w:sz w:val="18"/>
          <w:szCs w:val="18"/>
        </w:rPr>
      </w:pPr>
      <w:r w:rsidRPr="00067EB5">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(مختصر في شواذ القران من كتاب البديع أو القراءات الشاذة)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الحسين بن احمد ابن خالويه، دار الهجرة،  1934م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(القراءات القرآنية في بلاد الشام)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حسين عطوان، بيروت، دار الجيل, 1982م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lastRenderedPageBreak/>
        <w:t xml:space="preserve">(القراءات الشاذة وتوجيهها من لغة العرب)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عبد الفتاح القاضي، الهيئة العامة لشئون المطابع الأميرية، 1975م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(اليزيدي القارئ النحوي دراسة نحوية قرآنية) </w:t>
      </w:r>
    </w:p>
    <w:p w:rsidR="00067EB5" w:rsidRPr="00067EB5" w:rsidRDefault="00067EB5" w:rsidP="00067EB5">
      <w:pPr>
        <w:ind w:left="284" w:firstLine="283"/>
        <w:jc w:val="lowKashida"/>
        <w:rPr>
          <w:rFonts w:asciiTheme="majorBidi" w:hAnsiTheme="majorBidi" w:cstheme="majorBidi"/>
          <w:b/>
          <w:bCs/>
          <w:sz w:val="18"/>
          <w:szCs w:val="18"/>
        </w:rPr>
      </w:pPr>
      <w:r w:rsidRPr="00067EB5">
        <w:rPr>
          <w:rFonts w:asciiTheme="majorBidi" w:hAnsiTheme="majorBidi" w:cstheme="majorBidi"/>
          <w:b/>
          <w:bCs/>
          <w:sz w:val="18"/>
          <w:szCs w:val="18"/>
          <w:rtl/>
        </w:rPr>
        <w:t>محمد أحمد علي سحلول ،  دار الحسين الإسلامية, 1989م.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(شواهد القراءات بين ابن هشام وابن عقيل، دراسة نحوية تحليلية) </w:t>
      </w:r>
    </w:p>
    <w:p w:rsidR="00067EB5" w:rsidRPr="00067EB5" w:rsidRDefault="00067EB5" w:rsidP="00067EB5">
      <w:pPr>
        <w:ind w:left="284" w:firstLine="436"/>
        <w:jc w:val="lowKashida"/>
        <w:rPr>
          <w:rFonts w:asciiTheme="majorBidi" w:hAnsiTheme="majorBidi" w:cstheme="majorBidi"/>
          <w:b/>
          <w:bCs/>
          <w:sz w:val="18"/>
          <w:szCs w:val="18"/>
        </w:rPr>
      </w:pPr>
      <w:r w:rsidRPr="00067EB5">
        <w:rPr>
          <w:rFonts w:asciiTheme="majorBidi" w:hAnsiTheme="majorBidi" w:cstheme="majorBidi"/>
          <w:b/>
          <w:bCs/>
          <w:sz w:val="18"/>
          <w:szCs w:val="18"/>
          <w:rtl/>
        </w:rPr>
        <w:t>محمد أحمد علي سحلول،  دار الطباعة المحمدية, 1993م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(قراءة أبي السمال العدوي) </w:t>
      </w:r>
    </w:p>
    <w:p w:rsidR="00067EB5" w:rsidRPr="00067EB5" w:rsidRDefault="00067EB5" w:rsidP="00067EB5">
      <w:pPr>
        <w:ind w:left="284" w:firstLine="436"/>
        <w:jc w:val="lowKashida"/>
        <w:rPr>
          <w:rFonts w:asciiTheme="majorBidi" w:hAnsiTheme="majorBidi" w:cstheme="majorBidi"/>
          <w:b/>
          <w:bCs/>
          <w:sz w:val="18"/>
          <w:szCs w:val="18"/>
        </w:rPr>
      </w:pPr>
      <w:r w:rsidRPr="00067EB5">
        <w:rPr>
          <w:rFonts w:asciiTheme="majorBidi" w:hAnsiTheme="majorBidi" w:cstheme="majorBidi"/>
          <w:b/>
          <w:bCs/>
          <w:sz w:val="18"/>
          <w:szCs w:val="18"/>
          <w:rtl/>
        </w:rPr>
        <w:t>حمدي عبد الفتاح مصطفى خليل، الجريس، القاهرة, 2000م</w:t>
      </w:r>
    </w:p>
    <w:p w:rsidR="00067EB5" w:rsidRPr="00067EB5" w:rsidRDefault="00067EB5" w:rsidP="00067EB5">
      <w:pPr>
        <w:numPr>
          <w:ilvl w:val="0"/>
          <w:numId w:val="1"/>
        </w:numPr>
        <w:jc w:val="lowKashida"/>
        <w:rPr>
          <w:rFonts w:asciiTheme="majorBidi" w:hAnsiTheme="majorBidi" w:cstheme="majorBidi"/>
          <w:b/>
          <w:bCs/>
          <w:sz w:val="18"/>
          <w:szCs w:val="18"/>
        </w:rPr>
      </w:pPr>
      <w:r w:rsidRPr="00067EB5">
        <w:rPr>
          <w:rFonts w:asciiTheme="majorBidi" w:hAnsiTheme="majorBidi" w:cstheme="majorBidi"/>
          <w:b/>
          <w:bCs/>
          <w:sz w:val="18"/>
          <w:szCs w:val="18"/>
          <w:rtl/>
        </w:rPr>
        <w:t xml:space="preserve">(قراءة عبد الله بن مسعود مكانتها ومصادرها إحصاؤها) </w:t>
      </w:r>
    </w:p>
    <w:p w:rsidR="00067EB5" w:rsidRPr="00067EB5" w:rsidRDefault="00067EB5" w:rsidP="00067EB5">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067EB5">
        <w:rPr>
          <w:rFonts w:asciiTheme="majorBidi" w:hAnsiTheme="majorBidi" w:cstheme="majorBidi"/>
          <w:b/>
          <w:bCs/>
          <w:sz w:val="18"/>
          <w:szCs w:val="18"/>
          <w:rtl/>
          <w:lang w:bidi="ar-EG"/>
        </w:rPr>
        <w:t>محمد أحمد خاطر، دار الاعتصام, 1990م</w:t>
      </w:r>
    </w:p>
    <w:p w:rsidR="00067EB5" w:rsidRPr="00067EB5" w:rsidRDefault="00067EB5" w:rsidP="00067EB5">
      <w:pPr>
        <w:rPr>
          <w:rFonts w:hint="cs"/>
          <w:b/>
          <w:bCs/>
          <w:sz w:val="18"/>
          <w:szCs w:val="18"/>
        </w:rPr>
      </w:pPr>
    </w:p>
    <w:p w:rsidR="00067EB5" w:rsidRPr="00067EB5" w:rsidRDefault="00067EB5" w:rsidP="00067EB5">
      <w:pPr>
        <w:rPr>
          <w:b/>
          <w:bCs/>
          <w:sz w:val="18"/>
          <w:szCs w:val="18"/>
        </w:rPr>
      </w:pPr>
    </w:p>
    <w:p w:rsidR="00067EB5" w:rsidRDefault="00067EB5" w:rsidP="00067EB5">
      <w:pPr>
        <w:spacing w:line="276" w:lineRule="auto"/>
        <w:jc w:val="center"/>
        <w:rPr>
          <w:rFonts w:asciiTheme="majorBidi" w:eastAsia="Calibri" w:hAnsiTheme="majorBidi" w:cstheme="majorBidi"/>
          <w:b/>
          <w:bCs/>
          <w:sz w:val="48"/>
          <w:szCs w:val="48"/>
          <w:rtl/>
          <w:lang w:bidi="ar-SA"/>
        </w:rPr>
        <w:sectPr w:rsidR="00067EB5" w:rsidSect="00067EB5">
          <w:type w:val="continuous"/>
          <w:pgSz w:w="11906" w:h="16838"/>
          <w:pgMar w:top="1440" w:right="1133" w:bottom="993" w:left="1800" w:header="708" w:footer="708" w:gutter="0"/>
          <w:cols w:num="2" w:space="708"/>
          <w:bidi/>
          <w:rtlGutter/>
          <w:docGrid w:linePitch="360"/>
        </w:sectPr>
      </w:pPr>
    </w:p>
    <w:p w:rsidR="00067EB5" w:rsidRPr="00067EB5" w:rsidRDefault="00067EB5" w:rsidP="00067EB5">
      <w:pPr>
        <w:spacing w:line="276" w:lineRule="auto"/>
        <w:jc w:val="center"/>
        <w:rPr>
          <w:rFonts w:asciiTheme="majorBidi" w:eastAsia="Calibri" w:hAnsiTheme="majorBidi" w:cstheme="majorBidi"/>
          <w:b/>
          <w:bCs/>
          <w:sz w:val="48"/>
          <w:szCs w:val="48"/>
          <w:lang w:bidi="ar-SA"/>
        </w:rPr>
      </w:pPr>
    </w:p>
    <w:p w:rsidR="004219C3" w:rsidRPr="00067EB5" w:rsidRDefault="004219C3" w:rsidP="00067EB5">
      <w:pPr>
        <w:spacing w:after="200" w:line="276" w:lineRule="auto"/>
        <w:jc w:val="center"/>
        <w:rPr>
          <w:rFonts w:asciiTheme="majorBidi" w:eastAsia="Calibri" w:hAnsiTheme="majorBidi" w:cstheme="majorBidi"/>
          <w:b/>
          <w:bCs/>
          <w:sz w:val="48"/>
          <w:szCs w:val="48"/>
          <w:lang w:bidi="ar-SA"/>
        </w:rPr>
      </w:pPr>
    </w:p>
    <w:sectPr w:rsidR="004219C3" w:rsidRPr="00067EB5" w:rsidSect="00067EB5">
      <w:type w:val="continuous"/>
      <w:pgSz w:w="11906" w:h="16838"/>
      <w:pgMar w:top="1440" w:right="1133" w:bottom="993"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30">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QCF_P062">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67EB5"/>
    <w:rsid w:val="00067EB5"/>
    <w:rsid w:val="001A2769"/>
    <w:rsid w:val="004168A0"/>
    <w:rsid w:val="004219C3"/>
    <w:rsid w:val="004A2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B5"/>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7EB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67EB5"/>
    <w:pPr>
      <w:bidi w:val="0"/>
      <w:spacing w:before="100" w:beforeAutospacing="1" w:after="100" w:afterAutospacing="1"/>
    </w:pPr>
    <w:rPr>
      <w:lang w:bidi="ar-SA"/>
    </w:rPr>
  </w:style>
  <w:style w:type="character" w:styleId="Hyperlink">
    <w:name w:val="Hyperlink"/>
    <w:basedOn w:val="DefaultParagraphFont"/>
    <w:uiPriority w:val="99"/>
    <w:unhideWhenUsed/>
    <w:rsid w:val="00067E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5096</Characters>
  <Application>Microsoft Office Word</Application>
  <DocSecurity>0</DocSecurity>
  <Lines>42</Lines>
  <Paragraphs>11</Paragraphs>
  <ScaleCrop>false</ScaleCrop>
  <Company>Fannan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2013-06-16T15:42:00Z</dcterms:created>
  <dcterms:modified xsi:type="dcterms:W3CDTF">2013-06-16T16:22:00Z</dcterms:modified>
</cp:coreProperties>
</file>