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i/>
          <w:iCs/>
          <w:sz w:val="48"/>
          <w:szCs w:val="48"/>
          <w:rtl/>
          <w:lang w:bidi="ar-EG"/>
        </w:rPr>
      </w:pPr>
    </w:p>
    <w:p w:rsidR="000C4416" w:rsidRPr="00D01C0B" w:rsidRDefault="004F2EF7" w:rsidP="004F2EF7">
      <w:pPr>
        <w:pStyle w:val="papersubtitle"/>
        <w:bidi/>
        <w:rPr>
          <w:i/>
          <w:iCs/>
          <w:sz w:val="48"/>
          <w:szCs w:val="48"/>
          <w:rtl/>
        </w:rPr>
      </w:pPr>
      <w:r w:rsidRPr="004F2EF7">
        <w:rPr>
          <w:i/>
          <w:iCs/>
          <w:sz w:val="48"/>
          <w:szCs w:val="48"/>
          <w:rtl/>
        </w:rPr>
        <w:t>الاستعمال بين القو</w:t>
      </w:r>
      <w:r w:rsidRPr="004F2EF7">
        <w:rPr>
          <w:rFonts w:hint="cs"/>
          <w:i/>
          <w:iCs/>
          <w:sz w:val="48"/>
          <w:szCs w:val="48"/>
          <w:rtl/>
        </w:rPr>
        <w:t>َّ</w:t>
      </w:r>
      <w:r w:rsidRPr="004F2EF7">
        <w:rPr>
          <w:i/>
          <w:iCs/>
          <w:sz w:val="48"/>
          <w:szCs w:val="48"/>
          <w:rtl/>
        </w:rPr>
        <w:t>ة والض</w:t>
      </w:r>
      <w:r w:rsidRPr="004F2EF7">
        <w:rPr>
          <w:rFonts w:hint="cs"/>
          <w:i/>
          <w:iCs/>
          <w:sz w:val="48"/>
          <w:szCs w:val="48"/>
          <w:rtl/>
        </w:rPr>
        <w:t>َّ</w:t>
      </w:r>
      <w:r w:rsidRPr="004F2EF7">
        <w:rPr>
          <w:i/>
          <w:iCs/>
          <w:sz w:val="48"/>
          <w:szCs w:val="48"/>
          <w:rtl/>
        </w:rPr>
        <w:t>عف</w:t>
      </w:r>
      <w:r w:rsidRPr="004F2EF7">
        <w:rPr>
          <w:rFonts w:hint="cs"/>
          <w:i/>
          <w:iCs/>
          <w:sz w:val="48"/>
          <w:szCs w:val="48"/>
          <w:rtl/>
        </w:rPr>
        <w:t xml:space="preserve"> واليقين والشّك</w:t>
      </w:r>
    </w:p>
    <w:p w:rsidR="00FD7D36" w:rsidRDefault="000C4416" w:rsidP="0008662E">
      <w:pPr>
        <w:pStyle w:val="papersubtitle"/>
        <w:bidi/>
        <w:rPr>
          <w:rtl/>
        </w:rPr>
      </w:pPr>
      <w:r>
        <w:rPr>
          <w:rFonts w:hint="cs"/>
          <w:i/>
          <w:iCs/>
          <w:rtl/>
        </w:rPr>
        <w:t>بحث في</w:t>
      </w:r>
      <w:r w:rsidR="00D01C0B">
        <w:rPr>
          <w:rFonts w:hint="cs"/>
          <w:i/>
          <w:iCs/>
          <w:rtl/>
        </w:rPr>
        <w:t xml:space="preserve"> </w:t>
      </w:r>
      <w:r w:rsidR="00D01C0B">
        <w:rPr>
          <w:i/>
          <w:iCs/>
        </w:rPr>
        <w:t xml:space="preserve"> </w:t>
      </w:r>
      <w:r w:rsidR="0008662E">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057A8F">
      <w:pPr>
        <w:pStyle w:val="Author"/>
        <w:bidi/>
        <w:rPr>
          <w:rFonts w:eastAsia="Times New Roman"/>
          <w:lang w:bidi="ar-EG"/>
        </w:rPr>
      </w:pPr>
      <w:r>
        <w:rPr>
          <w:rFonts w:hint="cs"/>
          <w:i/>
          <w:iCs/>
          <w:rtl/>
        </w:rPr>
        <w:lastRenderedPageBreak/>
        <w:t>إعداد</w:t>
      </w:r>
      <w:r w:rsidR="00F90E05">
        <w:rPr>
          <w:rFonts w:hint="cs"/>
          <w:i/>
          <w:iCs/>
          <w:rtl/>
        </w:rPr>
        <w:t xml:space="preserve">/ </w:t>
      </w:r>
      <w:r w:rsidR="00057A8F" w:rsidRPr="00057A8F">
        <w:rPr>
          <w:i/>
          <w:iCs/>
          <w:rtl/>
          <w:lang w:bidi="ar-EG"/>
        </w:rPr>
        <w:t>شيماء عبد المجيد محمد زهران</w:t>
      </w:r>
    </w:p>
    <w:p w:rsidR="00FD7D36" w:rsidRDefault="00F90E05" w:rsidP="002E0EFA">
      <w:pPr>
        <w:pStyle w:val="Affiliation"/>
        <w:bidi/>
        <w:rPr>
          <w:rFonts w:eastAsia="Times New Roman"/>
          <w:rtl/>
          <w:lang w:bidi="ar-EG"/>
        </w:rPr>
      </w:pPr>
      <w:r>
        <w:rPr>
          <w:rFonts w:hint="cs"/>
          <w:i/>
          <w:iCs/>
          <w:rtl/>
        </w:rPr>
        <w:t>قسم</w:t>
      </w:r>
      <w:r w:rsidR="006226AB">
        <w:rPr>
          <w:rFonts w:hint="cs"/>
          <w:i/>
          <w:iCs/>
          <w:rtl/>
        </w:rPr>
        <w:t xml:space="preserve"> </w:t>
      </w:r>
      <w:r w:rsidR="002E0EFA">
        <w:rPr>
          <w:rFonts w:hint="cs"/>
          <w:i/>
          <w:iCs/>
          <w:rtl/>
          <w:lang w:bidi="ar-EG"/>
        </w:rPr>
        <w:t>اللغة العربية</w:t>
      </w:r>
    </w:p>
    <w:p w:rsidR="00FD7D36" w:rsidRDefault="00F90E05" w:rsidP="0008662E">
      <w:pPr>
        <w:pStyle w:val="Affiliation"/>
        <w:bidi/>
      </w:pPr>
      <w:r>
        <w:rPr>
          <w:rFonts w:hint="cs"/>
          <w:i/>
          <w:iCs/>
          <w:rtl/>
        </w:rPr>
        <w:t xml:space="preserve">كلية </w:t>
      </w:r>
      <w:r w:rsidR="0008662E">
        <w:rPr>
          <w:rFonts w:hint="cs"/>
          <w:i/>
          <w:iCs/>
          <w:rtl/>
        </w:rPr>
        <w:t>العلوم الاسلامية</w:t>
      </w:r>
      <w:r w:rsidR="0008662E">
        <w:rPr>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057A8F" w:rsidP="00D01C0B">
      <w:pPr>
        <w:pStyle w:val="Affiliation"/>
        <w:bidi/>
      </w:pPr>
      <w:r w:rsidRPr="00057A8F">
        <w:rPr>
          <w:i/>
          <w:iCs/>
          <w:lang w:bidi="ar-EG"/>
        </w:rPr>
        <w:t>shaimaa.abdelmajeed@mediu.ws</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8D2AC5" w:rsidRDefault="00E5535F" w:rsidP="004F2EF7">
      <w:pPr>
        <w:pStyle w:val="papersubtitle"/>
        <w:bidi/>
        <w:jc w:val="both"/>
        <w:rPr>
          <w:rFonts w:eastAsia="SimSun"/>
          <w:b/>
          <w:bCs/>
          <w:i/>
          <w:iCs/>
          <w:sz w:val="18"/>
          <w:szCs w:val="18"/>
          <w:rtl/>
          <w:lang w:eastAsia="zh-CN"/>
        </w:rPr>
      </w:pPr>
      <w:r w:rsidRPr="008D2AC5">
        <w:rPr>
          <w:rFonts w:eastAsia="SimSun" w:hint="cs"/>
          <w:b/>
          <w:bCs/>
          <w:i/>
          <w:iCs/>
          <w:sz w:val="18"/>
          <w:szCs w:val="18"/>
          <w:rtl/>
          <w:lang w:eastAsia="zh-CN"/>
        </w:rPr>
        <w:lastRenderedPageBreak/>
        <w:t>خلاصة</w:t>
      </w:r>
      <w:r w:rsidR="00FD7D36" w:rsidRPr="008D2AC5">
        <w:rPr>
          <w:rFonts w:eastAsia="SimSun"/>
          <w:b/>
          <w:bCs/>
          <w:i/>
          <w:iCs/>
          <w:sz w:val="18"/>
          <w:szCs w:val="18"/>
          <w:lang w:eastAsia="zh-CN"/>
        </w:rPr>
        <w:t>—</w:t>
      </w:r>
      <w:r w:rsidR="000C4416" w:rsidRPr="008D2AC5">
        <w:rPr>
          <w:rFonts w:eastAsia="SimSun" w:hint="cs"/>
          <w:b/>
          <w:bCs/>
          <w:i/>
          <w:iCs/>
          <w:sz w:val="18"/>
          <w:szCs w:val="18"/>
          <w:rtl/>
          <w:lang w:eastAsia="zh-CN"/>
        </w:rPr>
        <w:t xml:space="preserve">هذا البحث يبحث في </w:t>
      </w:r>
      <w:r w:rsidR="004F2EF7" w:rsidRPr="004F2EF7">
        <w:rPr>
          <w:rFonts w:eastAsia="SimSun"/>
          <w:b/>
          <w:bCs/>
          <w:i/>
          <w:iCs/>
          <w:sz w:val="18"/>
          <w:szCs w:val="18"/>
          <w:rtl/>
          <w:lang w:eastAsia="zh-CN"/>
        </w:rPr>
        <w:t>الاستعمال بين القو</w:t>
      </w:r>
      <w:r w:rsidR="004F2EF7" w:rsidRPr="004F2EF7">
        <w:rPr>
          <w:rFonts w:eastAsia="SimSun" w:hint="cs"/>
          <w:b/>
          <w:bCs/>
          <w:i/>
          <w:iCs/>
          <w:sz w:val="18"/>
          <w:szCs w:val="18"/>
          <w:rtl/>
          <w:lang w:eastAsia="zh-CN"/>
        </w:rPr>
        <w:t>َّ</w:t>
      </w:r>
      <w:r w:rsidR="004F2EF7" w:rsidRPr="004F2EF7">
        <w:rPr>
          <w:rFonts w:eastAsia="SimSun"/>
          <w:b/>
          <w:bCs/>
          <w:i/>
          <w:iCs/>
          <w:sz w:val="18"/>
          <w:szCs w:val="18"/>
          <w:rtl/>
          <w:lang w:eastAsia="zh-CN"/>
        </w:rPr>
        <w:t>ة والض</w:t>
      </w:r>
      <w:r w:rsidR="004F2EF7" w:rsidRPr="004F2EF7">
        <w:rPr>
          <w:rFonts w:eastAsia="SimSun" w:hint="cs"/>
          <w:b/>
          <w:bCs/>
          <w:i/>
          <w:iCs/>
          <w:sz w:val="18"/>
          <w:szCs w:val="18"/>
          <w:rtl/>
          <w:lang w:eastAsia="zh-CN"/>
        </w:rPr>
        <w:t>َّ</w:t>
      </w:r>
      <w:r w:rsidR="004F2EF7" w:rsidRPr="004F2EF7">
        <w:rPr>
          <w:rFonts w:eastAsia="SimSun"/>
          <w:b/>
          <w:bCs/>
          <w:i/>
          <w:iCs/>
          <w:sz w:val="18"/>
          <w:szCs w:val="18"/>
          <w:rtl/>
          <w:lang w:eastAsia="zh-CN"/>
        </w:rPr>
        <w:t>عف</w:t>
      </w:r>
      <w:r w:rsidR="004F2EF7" w:rsidRPr="004F2EF7">
        <w:rPr>
          <w:rFonts w:eastAsia="SimSun" w:hint="cs"/>
          <w:b/>
          <w:bCs/>
          <w:i/>
          <w:iCs/>
          <w:sz w:val="18"/>
          <w:szCs w:val="18"/>
          <w:rtl/>
          <w:lang w:eastAsia="zh-CN"/>
        </w:rPr>
        <w:t xml:space="preserve"> واليقين والشّك</w:t>
      </w:r>
      <w:r w:rsidR="008D2AC5">
        <w:rPr>
          <w:rFonts w:eastAsia="SimSun" w:hint="cs"/>
          <w:b/>
          <w:bCs/>
          <w:i/>
          <w:iCs/>
          <w:sz w:val="18"/>
          <w:szCs w:val="18"/>
          <w:rtl/>
          <w:lang w:eastAsia="zh-CN"/>
        </w:rPr>
        <w:t>.</w:t>
      </w:r>
    </w:p>
    <w:p w:rsidR="00FD7D36" w:rsidRDefault="00E5535F" w:rsidP="004F2EF7">
      <w:pPr>
        <w:pStyle w:val="keywords"/>
        <w:bidi/>
        <w:ind w:firstLine="180"/>
        <w:rPr>
          <w:rtl/>
        </w:rPr>
      </w:pPr>
      <w:r>
        <w:rPr>
          <w:rFonts w:hint="cs"/>
          <w:i/>
          <w:rtl/>
          <w:lang w:eastAsia="zh-CN"/>
        </w:rPr>
        <w:t>الكلمات المفتاحية</w:t>
      </w:r>
      <w:r w:rsidRPr="00455C43">
        <w:rPr>
          <w:rFonts w:hint="cs"/>
          <w:i/>
          <w:rtl/>
          <w:lang w:eastAsia="zh-CN"/>
        </w:rPr>
        <w:t>:</w:t>
      </w:r>
      <w:r w:rsidR="005A15C9">
        <w:rPr>
          <w:rFonts w:hint="cs"/>
          <w:i/>
          <w:rtl/>
          <w:lang w:eastAsia="zh-CN"/>
        </w:rPr>
        <w:t xml:space="preserve"> </w:t>
      </w:r>
      <w:r w:rsidR="002A0A20">
        <w:rPr>
          <w:rFonts w:hint="cs"/>
          <w:i/>
          <w:rtl/>
          <w:lang w:eastAsia="zh-CN"/>
        </w:rPr>
        <w:t>القوة، الشك، الإلغاء.</w:t>
      </w:r>
    </w:p>
    <w:p w:rsidR="00FD7D36" w:rsidRDefault="00DE155D" w:rsidP="002E0EFA">
      <w:pPr>
        <w:pStyle w:val="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07783C" w:rsidRPr="004F2EF7" w:rsidRDefault="00AE5DD6" w:rsidP="002A0A20">
      <w:pPr>
        <w:pStyle w:val="Abstract"/>
        <w:bidi/>
        <w:spacing w:after="0"/>
        <w:ind w:firstLine="173"/>
        <w:rPr>
          <w:i/>
          <w:iCs/>
          <w:rtl/>
        </w:rPr>
      </w:pPr>
      <w:r w:rsidRPr="004F2EF7">
        <w:rPr>
          <w:rFonts w:hint="cs"/>
          <w:i/>
          <w:iCs/>
          <w:rtl/>
        </w:rPr>
        <w:t xml:space="preserve">معرفة </w:t>
      </w:r>
      <w:r w:rsidR="00444EE2" w:rsidRPr="004F2EF7">
        <w:rPr>
          <w:rFonts w:hint="cs"/>
          <w:i/>
          <w:iCs/>
          <w:rtl/>
        </w:rPr>
        <w:t xml:space="preserve">أسس </w:t>
      </w:r>
      <w:r w:rsidR="004F2EF7" w:rsidRPr="004F2EF7">
        <w:rPr>
          <w:i/>
          <w:iCs/>
          <w:rtl/>
        </w:rPr>
        <w:t>الاستعمال بين القو</w:t>
      </w:r>
      <w:r w:rsidR="004F2EF7" w:rsidRPr="004F2EF7">
        <w:rPr>
          <w:rFonts w:hint="cs"/>
          <w:i/>
          <w:iCs/>
          <w:rtl/>
        </w:rPr>
        <w:t>َّ</w:t>
      </w:r>
      <w:r w:rsidR="004F2EF7" w:rsidRPr="004F2EF7">
        <w:rPr>
          <w:i/>
          <w:iCs/>
          <w:rtl/>
        </w:rPr>
        <w:t>ة والض</w:t>
      </w:r>
      <w:r w:rsidR="004F2EF7" w:rsidRPr="004F2EF7">
        <w:rPr>
          <w:rFonts w:hint="cs"/>
          <w:i/>
          <w:iCs/>
          <w:rtl/>
        </w:rPr>
        <w:t>َّ</w:t>
      </w:r>
      <w:r w:rsidR="004F2EF7" w:rsidRPr="004F2EF7">
        <w:rPr>
          <w:i/>
          <w:iCs/>
          <w:rtl/>
        </w:rPr>
        <w:t>عف</w:t>
      </w:r>
      <w:r w:rsidR="004F2EF7" w:rsidRPr="004F2EF7">
        <w:rPr>
          <w:rFonts w:hint="cs"/>
          <w:i/>
          <w:iCs/>
          <w:rtl/>
        </w:rPr>
        <w:t xml:space="preserve"> واليقين والشّك</w:t>
      </w:r>
      <w:r w:rsidR="002A0A20">
        <w:rPr>
          <w:rFonts w:hint="cs"/>
          <w:i/>
          <w:iCs/>
          <w:rtl/>
        </w:rPr>
        <w:t xml:space="preserve">، </w:t>
      </w:r>
      <w:r w:rsidR="002A0A20">
        <w:rPr>
          <w:rFonts w:hint="cs"/>
          <w:rtl/>
          <w:lang w:eastAsia="en-US"/>
        </w:rPr>
        <w:t>فإ</w:t>
      </w:r>
      <w:r w:rsidR="002A0A20" w:rsidRPr="00735D0C">
        <w:rPr>
          <w:rFonts w:hint="cs"/>
          <w:rtl/>
          <w:lang w:eastAsia="en-US"/>
        </w:rPr>
        <w:t>ن الكلام مضى على اليقين، وكأن اليقين يجيء أولًا، وكأنه يسبق الشك، وكأنه هو الذي يُبنى عليه، فالأصل حتى في الفقه أن يترك الشك، هكذا قال الإمام فمضى كلام المتكلم على اليقين، ثم جاء بالشك، فمن ثم كان التأخير، ووضح ذلك بمثال ربما يكون بعيدًا عن الباب والإعمال والإلغاء، وهو من باب توضيح المعاني النحوية بالأمثلة.</w:t>
      </w:r>
      <w:r w:rsidR="008D2AC5" w:rsidRPr="004F2EF7">
        <w:rPr>
          <w:rFonts w:hint="cs"/>
          <w:i/>
          <w:iCs/>
          <w:rtl/>
        </w:rPr>
        <w:t>.</w:t>
      </w:r>
    </w:p>
    <w:p w:rsidR="0007783C" w:rsidRDefault="0007783C" w:rsidP="0007783C">
      <w:pPr>
        <w:pStyle w:val="Abstract"/>
        <w:bidi/>
        <w:spacing w:after="0"/>
        <w:ind w:firstLine="173"/>
        <w:rPr>
          <w:b w:val="0"/>
          <w:bCs w:val="0"/>
          <w:rtl/>
        </w:rPr>
      </w:pPr>
    </w:p>
    <w:p w:rsidR="00FD7D36" w:rsidRPr="0007783C" w:rsidRDefault="00E5535F" w:rsidP="002E0EFA">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7F464F" w:rsidRPr="007F464F" w:rsidRDefault="007F464F" w:rsidP="007F464F">
      <w:pPr>
        <w:pStyle w:val="Abstract"/>
        <w:bidi/>
        <w:spacing w:after="0" w:line="240" w:lineRule="exact"/>
        <w:ind w:firstLine="173"/>
        <w:rPr>
          <w:lang w:eastAsia="en-US"/>
        </w:rPr>
      </w:pPr>
      <w:r w:rsidRPr="007F464F">
        <w:rPr>
          <w:rFonts w:hint="cs"/>
          <w:rtl/>
          <w:lang w:eastAsia="en-US"/>
        </w:rPr>
        <w:t>علة التأخير:</w:t>
      </w:r>
    </w:p>
    <w:p w:rsidR="007F464F" w:rsidRPr="007F464F" w:rsidRDefault="007F464F" w:rsidP="007F464F">
      <w:pPr>
        <w:pStyle w:val="Abstract"/>
        <w:bidi/>
        <w:spacing w:after="0" w:line="240" w:lineRule="exact"/>
        <w:ind w:firstLine="173"/>
        <w:rPr>
          <w:rtl/>
          <w:lang w:eastAsia="en-US"/>
        </w:rPr>
      </w:pPr>
      <w:r w:rsidRPr="007F464F">
        <w:rPr>
          <w:rFonts w:hint="cs"/>
          <w:rtl/>
          <w:lang w:eastAsia="en-US"/>
        </w:rPr>
        <w:t>يقول سيبويه: فإن ألغيت قلتَ بهذا التركيب الذي يشبه الشعر، وما هو بشعر يبدأ بـ"إن"، والتعبير بـ"إن" يدل على قلة الإلغاء، وكأنه لو قال: إذا ألغيت لدلّ ذلك على شيوعه، وعلى التيقّن من وجوده، وهو لا شكّ متيقّن من وجوده صحة في الأساليب، ولكن الأصل الإعمال، وكأن علاقة اللغة بحياة أصحابها علاقة قوية.</w:t>
      </w:r>
    </w:p>
    <w:p w:rsidR="007F464F" w:rsidRPr="007F464F" w:rsidRDefault="007F464F" w:rsidP="007F464F">
      <w:pPr>
        <w:pStyle w:val="Abstract"/>
        <w:bidi/>
        <w:spacing w:after="0" w:line="240" w:lineRule="exact"/>
        <w:ind w:firstLine="173"/>
        <w:rPr>
          <w:lang w:eastAsia="en-US"/>
        </w:rPr>
      </w:pPr>
      <w:r w:rsidRPr="007F464F">
        <w:rPr>
          <w:rFonts w:hint="cs"/>
          <w:rtl/>
          <w:lang w:eastAsia="en-US"/>
        </w:rPr>
        <w:t>فالأصل أن تعمل، والأصل أن تجاهد، ولا يتخلف عن الجهاد إلَّا صاحب عذر، عذره الله لمرض فيه، أو علة اعترته وجعل قعوده مشروطًا بالنصح لله ورسوله وللذين آمنوا، فلا يحبط معذور صاحب همة، ولا يحبط معذور صاحب ذراع، وإنما يشجعه ويدعو له.</w:t>
      </w:r>
    </w:p>
    <w:p w:rsidR="007F464F" w:rsidRPr="007F464F" w:rsidRDefault="007F464F" w:rsidP="007F464F">
      <w:pPr>
        <w:pStyle w:val="Abstract"/>
        <w:bidi/>
        <w:spacing w:after="0" w:line="240" w:lineRule="exact"/>
        <w:ind w:firstLine="173"/>
        <w:rPr>
          <w:lang w:eastAsia="en-US"/>
        </w:rPr>
      </w:pPr>
      <w:r w:rsidRPr="007F464F">
        <w:rPr>
          <w:rFonts w:hint="cs"/>
          <w:rtl/>
          <w:lang w:eastAsia="en-US"/>
        </w:rPr>
        <w:t>والأصل الأصيل في الأفعال أن تعمل، ولو حاولت أن تربط بين هذا التصدير وبين ما ذكره سيبويه عنوانًا لبابه؛ لوجدت الخير كله، فسيبويه لم يقل: هذا باب الأفعال التي تلغى وتستعمل، وإنما قال: هذا باب الأفعال التي تستعمل وتلغى، فقدَّم الاستعمال على الإلغاء؛ لأن استعمالها هو الأصل.</w:t>
      </w:r>
    </w:p>
    <w:p w:rsidR="007F464F" w:rsidRPr="007F464F" w:rsidRDefault="007F464F" w:rsidP="007F464F">
      <w:pPr>
        <w:pStyle w:val="Abstract"/>
        <w:bidi/>
        <w:spacing w:after="0" w:line="240" w:lineRule="exact"/>
        <w:ind w:firstLine="173"/>
        <w:rPr>
          <w:rtl/>
          <w:lang w:eastAsia="en-US"/>
        </w:rPr>
      </w:pPr>
      <w:r w:rsidRPr="007F464F">
        <w:rPr>
          <w:rFonts w:hint="cs"/>
          <w:rtl/>
          <w:lang w:eastAsia="en-US"/>
        </w:rPr>
        <w:t>وكذلك استعمال الأرض واستخراج كنوزها هو الأصل، أما القعود عن ذلك والتخلف عنه فسبيل تخلف الأمة، وبين يديك كتاب سيبويه. فكيف لا تفتحه, فكيف لا تقرأ فيه، وكيف لا تطالع فيه.</w:t>
      </w:r>
    </w:p>
    <w:p w:rsidR="007F464F" w:rsidRPr="00735D0C" w:rsidRDefault="007F464F" w:rsidP="00735D0C">
      <w:pPr>
        <w:pStyle w:val="Abstract"/>
        <w:bidi/>
        <w:spacing w:after="0" w:line="240" w:lineRule="exact"/>
        <w:ind w:firstLine="173"/>
        <w:rPr>
          <w:lang w:eastAsia="en-US"/>
        </w:rPr>
      </w:pPr>
      <w:r w:rsidRPr="007F464F">
        <w:rPr>
          <w:rFonts w:hint="cs"/>
          <w:rtl/>
          <w:lang w:eastAsia="en-US"/>
        </w:rPr>
        <w:t xml:space="preserve">فكل ذلك على شيء من التحقيق إذا </w:t>
      </w:r>
      <w:r w:rsidRPr="00735D0C">
        <w:rPr>
          <w:rFonts w:hint="cs"/>
          <w:rtl/>
          <w:lang w:eastAsia="en-US"/>
        </w:rPr>
        <w:t xml:space="preserve">عرفته وجدت أن "لا" لا تأتي بعد كيف؛ لأن كيف يأتي الفعل بعدها مثبتًا، وقد نص على ذلك سيبويه في الجزء الثالث من (كتابه)، إذن تقول: فكيف تنصرف عنه، كيف تلهو عنه؟ قال الله تعالى: </w:t>
      </w:r>
      <w:r w:rsidR="00735D0C" w:rsidRPr="00735D0C">
        <w:rPr>
          <w:rFonts w:ascii="Tahoma" w:hAnsi="Tahoma" w:cs="DecoType Thuluth" w:hint="cs"/>
          <w:rtl/>
        </w:rPr>
        <w:t>{</w:t>
      </w:r>
      <w:r w:rsidR="00735D0C" w:rsidRPr="00735D0C">
        <w:rPr>
          <w:rFonts w:ascii="QCF_P005" w:hAnsi="QCF_P005" w:cs="QCF_P005"/>
          <w:rtl/>
        </w:rPr>
        <w:t>ﯝ ﯞ ﯟ ﯠ ﯡ ﯢ</w:t>
      </w:r>
      <w:r w:rsidR="00735D0C" w:rsidRPr="00735D0C">
        <w:rPr>
          <w:rFonts w:ascii="QCF_P005" w:hAnsi="QCF_P005" w:cs="DecoType Thuluth"/>
          <w:rtl/>
        </w:rPr>
        <w:t>}</w:t>
      </w:r>
      <w:r w:rsidRPr="00735D0C">
        <w:rPr>
          <w:rFonts w:hint="cs"/>
          <w:rtl/>
          <w:lang w:eastAsia="en-US"/>
        </w:rPr>
        <w:t xml:space="preserve"> [البقرة: 29</w:t>
      </w:r>
      <w:r w:rsidRPr="00735D0C">
        <w:rPr>
          <w:rtl/>
          <w:lang w:eastAsia="en-US"/>
        </w:rPr>
        <w:t>]</w:t>
      </w:r>
      <w:r w:rsidRPr="00735D0C">
        <w:rPr>
          <w:rFonts w:hint="cs"/>
          <w:rtl/>
          <w:lang w:eastAsia="en-US"/>
        </w:rPr>
        <w:t>.</w:t>
      </w:r>
    </w:p>
    <w:p w:rsidR="007F464F" w:rsidRPr="00735D0C" w:rsidRDefault="007F464F" w:rsidP="007F464F">
      <w:pPr>
        <w:pStyle w:val="Abstract"/>
        <w:bidi/>
        <w:spacing w:after="0" w:line="240" w:lineRule="exact"/>
        <w:ind w:firstLine="173"/>
        <w:rPr>
          <w:rtl/>
          <w:lang w:eastAsia="en-US"/>
        </w:rPr>
      </w:pPr>
      <w:r w:rsidRPr="00735D0C">
        <w:rPr>
          <w:rFonts w:hint="cs"/>
          <w:rtl/>
          <w:lang w:eastAsia="en-US"/>
        </w:rPr>
        <w:t>يقول سيبويه: فإن ألغيت قلت.</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إنه كما عرفنا لا يقول: ومعنى الإلغاء أن تذكر هذه الأفعال، وما بعدها على حاله الذي كان عليه؛ فلا تؤثر فيه نصبًا وإنما يأتي بالمثال، وبالمثال تتضح الحال، والحال ها هنا في مثال سيبويه عبد الله أظن ذاهبٌ، ونحن نقف هكذا للبيان، وإلا وقفنا عبد الله أظن ذاهبْ؛ لأن الوقف على المرفوع المنون يكون بالسكون.</w:t>
      </w:r>
    </w:p>
    <w:p w:rsidR="007F464F" w:rsidRPr="00735D0C" w:rsidRDefault="007F464F" w:rsidP="007F464F">
      <w:pPr>
        <w:pStyle w:val="Abstract"/>
        <w:bidi/>
        <w:spacing w:after="0" w:line="240" w:lineRule="exact"/>
        <w:ind w:firstLine="173"/>
        <w:rPr>
          <w:rtl/>
          <w:lang w:eastAsia="en-US"/>
        </w:rPr>
      </w:pPr>
      <w:r w:rsidRPr="00735D0C">
        <w:rPr>
          <w:rFonts w:hint="cs"/>
          <w:rtl/>
          <w:lang w:eastAsia="en-US"/>
        </w:rPr>
        <w:t>ومن العرب من يجعل ضمته واوًا عند الوقف، فيقول: عبد الله أظن ذاهب، كأنه ينشد الشعر، ما الذي يدلك على أن الإهمال أو الإلغاء محقق في هذا المثال؟</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إن كلمة عبد الله كما تعلم من باب المركب تركيب إضافة، عبد مضاف، ولفظ الجلالة مضاف إليه، وأنتم تعلمون أن الإضافة تمنع التنوين، وأن الإضافة تمنع الألف واللام إلَّا إذا كانت إضافة لفظية في مواضع معينة.</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lastRenderedPageBreak/>
        <w:t>وأنتم تعلمون كذلك أنا لو استعملنا كلمة "عبد" بدون الإضافة إلى لفظ الجلالة؛ وبدأنا بها "عبد أظن ذاهب" كان معنى ذلك عند الإعمال أننا سوف نقول: عبدًا كما قلنا زيدًا أو كما قال سيبويه زيدًا وعمرًا، فالألف فيها دليل على أنها منصوبة؛ لكنها مع الإضافة لا تظهر عليها الألف، ومن ثم إن لم ينطق الفصيح بالضمة لم يتبين الإعمال من الإهمال، فكلمة "عبد" لا تشفي غليلًا في بيان كونها منصوبة ولا في بيان كونها مرفوعة، إلَّا إذا نطق بها الأريب.</w:t>
      </w:r>
    </w:p>
    <w:p w:rsidR="007F464F" w:rsidRPr="00735D0C" w:rsidRDefault="007F464F" w:rsidP="007F464F">
      <w:pPr>
        <w:pStyle w:val="Abstract"/>
        <w:bidi/>
        <w:spacing w:after="0" w:line="240" w:lineRule="exact"/>
        <w:ind w:firstLine="173"/>
        <w:rPr>
          <w:rtl/>
          <w:lang w:eastAsia="en-US"/>
        </w:rPr>
      </w:pPr>
      <w:r w:rsidRPr="00735D0C">
        <w:rPr>
          <w:rFonts w:hint="cs"/>
          <w:rtl/>
          <w:lang w:eastAsia="en-US"/>
        </w:rPr>
        <w:t>فما الدليل؟</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الدليل إذن في كلمة "ذاهب"؛ حيث إنك تقرؤها باءً هكذا لا تنتهي بألف، ولو كانت منصوبةً لوجدتها بعيني رأسك هكذا عبد الله أظن ذاهبًا؛ فدل ذلك على أن الإلغاء محقق في مثال سيبويه دون شرح منه فقد ترك الشرح لنا.</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إذن نقول: عبد الله أظن ذاهبًا، على الإلغاء، فما إعراب هذا المثال؟</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إعراب مثال سيبويه: عبد: مبتدأ مرفوع وعلامة رفعه الضمة الظاهرة، ولفظ الجلالة: مضاف إليه مجرور وعلامة جره الكسرة الظاهرة على آخره، وأظن: فعل مضارع مرفوع بالضمة؛ لتجرده من الناصب والجازم، وفاعله مستتر فيه تقديره "أنا"، وذاهب: خبر المبتدأ الذي هو "عبد الله" من باب أن المضاف والمضاف إليه كالكلمة الواحدة، فـ"ذاهب" خبر المبتدأ مرفوع وعلامة رفعه الضمة الظاهرة.</w:t>
      </w:r>
    </w:p>
    <w:p w:rsidR="007F464F" w:rsidRPr="00735D0C" w:rsidRDefault="007F464F" w:rsidP="007F464F">
      <w:pPr>
        <w:pStyle w:val="Abstract"/>
        <w:bidi/>
        <w:spacing w:after="0" w:line="240" w:lineRule="exact"/>
        <w:ind w:firstLine="173"/>
        <w:rPr>
          <w:rtl/>
          <w:lang w:eastAsia="en-US"/>
        </w:rPr>
      </w:pPr>
      <w:r w:rsidRPr="00735D0C">
        <w:rPr>
          <w:rFonts w:hint="cs"/>
          <w:rtl/>
          <w:lang w:eastAsia="en-US"/>
        </w:rPr>
        <w:t>ويكون قولك: "أظن" برمته من باب الاعتراض الذي لا محل له من الإعراب، ولم تؤثر "ظن" في عبد الله المرفوع على الابتداء، ولا في "ذاهب" التي تقف عليها بالسكون بعد إذ صرت عالمًا، وإنما جاءت على الإلغاء.</w:t>
      </w:r>
    </w:p>
    <w:p w:rsidR="007F464F" w:rsidRPr="00735D0C" w:rsidRDefault="007F464F" w:rsidP="007F464F">
      <w:pPr>
        <w:pStyle w:val="Abstract"/>
        <w:bidi/>
        <w:spacing w:after="0" w:line="240" w:lineRule="exact"/>
        <w:ind w:firstLine="173"/>
        <w:rPr>
          <w:rtl/>
          <w:lang w:eastAsia="en-US"/>
        </w:rPr>
      </w:pPr>
      <w:r w:rsidRPr="00735D0C">
        <w:rPr>
          <w:rFonts w:hint="cs"/>
          <w:rtl/>
          <w:lang w:eastAsia="en-US"/>
        </w:rPr>
        <w:t>وعلى عادته -رحمه الله- يتبع المثال بمثال فيه تنويع، والتنويع في المثال الذي بعده من جوانب:</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أولها: أنه بدأ فقال: "عبدُ الله" فأتى بمعرب، أما في المثال الثاني فقال: "هذا" فأتى بمبنيٍّ فنوع ليقول أن محله الرفع حال الإلغاء، كما يكون محله النصب حال الإعمال، أو حال الاستعمال، ثم قال: "إخال" وفي المثال الأول قال أظن، وأنت تعلم عشرات الكتب يأتي فيها المؤلف بالفعل لا يغيره مع أن له أخوات.</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هذا عبد الله أظن ذاهب، وهذا أظن أخوك، وكأنه لا عبرة بـ"زعم"، ولا عبرة بـ"أُرِيَ" ولا بـ"أَرَى" ولا بـ"إِخَال".</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ثم انتقل بعد ذلك من ذاهب المعرب بالحركات إلى أخوك المعرب بالحروف، فانظر إلى هذا التنوع الذي جاء على جوانب ثلاثة:</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بدأ بمعرب في المثال الأول.</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وبدأ في المثال الثاني بمبني.</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ثم جاء بالفعل حال إلغائه أظن.</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وجاء بالفعل حال إلغائه إخال.</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ثم جاء بخبر المبتدأ المعرب معربًا بحركة، وهو ذاهب.</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وجاء بخبر المبتدأ المبني بمعرب بالحروف هو أخوك.</w:t>
      </w:r>
    </w:p>
    <w:p w:rsidR="007F464F" w:rsidRPr="00735D0C" w:rsidRDefault="007F464F" w:rsidP="007F464F">
      <w:pPr>
        <w:pStyle w:val="Abstract"/>
        <w:bidi/>
        <w:spacing w:after="0" w:line="240" w:lineRule="exact"/>
        <w:ind w:firstLine="173"/>
        <w:rPr>
          <w:rtl/>
          <w:lang w:eastAsia="en-US"/>
        </w:rPr>
      </w:pPr>
      <w:r w:rsidRPr="00735D0C">
        <w:rPr>
          <w:rFonts w:hint="cs"/>
          <w:rtl/>
          <w:lang w:eastAsia="en-US"/>
        </w:rPr>
        <w:t>ولست مبالغًا إذا قلت لك: إنه آثر أن يعبر بـ "أخوك" الذي تعربه أنت خبر المبتدأ مرفوعًا بالواو، أي مرفوعًا بالحرف؛ ليتناغم مع المبني، ولا تبنى الأسماء إلَّا إذا أشبهت الحروف، فكأن الرجل جاء بمعرب بالحرف مع مبني لشبهه بالحرف.</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lastRenderedPageBreak/>
        <w:t>فأي تناغم هذا؟ وأي عقل كان في رأس الرجل؟ وأي جمال كان في بنانه وهو يمسك بالقلم ليدون للزمن مثل هذا السفر الجليل؟ ألا ترى أن ذلك شيء يثير العجب، وشيء يدعوك إلى مزيد من التأمل.</w:t>
      </w:r>
    </w:p>
    <w:p w:rsidR="007F464F" w:rsidRPr="00735D0C" w:rsidRDefault="007F464F" w:rsidP="007F464F">
      <w:pPr>
        <w:pStyle w:val="Abstract"/>
        <w:bidi/>
        <w:spacing w:after="0" w:line="240" w:lineRule="exact"/>
        <w:ind w:firstLine="173"/>
        <w:rPr>
          <w:rtl/>
          <w:lang w:eastAsia="en-US"/>
        </w:rPr>
      </w:pPr>
      <w:r w:rsidRPr="00735D0C">
        <w:rPr>
          <w:rFonts w:hint="cs"/>
          <w:rtl/>
          <w:lang w:eastAsia="en-US"/>
        </w:rPr>
        <w:t>ثم قال سيبويه: وفيها أرى أبوك.</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وكأنه بعد أن ذكر "هذا"، وهذا من الإشارة، ثم جاء بعدها بالضمير الذي التبس به بعض الخبر، وهو "فيه"، فقال: "فيها"، ثم جاء بـ"أرى"، وكأنه ذكر ثلاثة أفعال: أظن وإخال وأرى، وكأنه حين قال فيها، أي في الجنة -إن شاء الله- أو في الدار الواسعة أرى أبوك، قال أبوك فيها، أي أبوك في الحديقة.</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وأرى حال الإلغاء، ويكون الإعراب بأن "فيها" متعلقه هو الخبر، أو على رأي الأخفش "فيها" هو الخبر، وأبوك برمته مضاف ومضاف إليه، وأبو: مبتدأ مؤخر مرفوع وعلامة رفعه الواو نيابة عن الضمة، وما كان أسهل أن يقول: وهذا إخال أخوك، وفيها أرى أخوك، لكنه سيبويه لا يفعل ذلك، ولكن الرجل يعي ما يكتب ويعي ما يقول ويضم النظير إلى النظير، ويأتيك من أسهل طريق.</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ومن أوضح طريق، أوضح الطريق أن يأتي باسم من الأسماء الستة علامة رفعه الواو، فالواو دليلك على أن إخال حال الإلغاء على أن أرى حال الإلغاء.</w:t>
      </w:r>
    </w:p>
    <w:p w:rsidR="007F464F" w:rsidRPr="00735D0C" w:rsidRDefault="007F464F" w:rsidP="007F464F">
      <w:pPr>
        <w:pStyle w:val="Abstract"/>
        <w:bidi/>
        <w:spacing w:after="0" w:line="240" w:lineRule="exact"/>
        <w:ind w:firstLine="173"/>
        <w:rPr>
          <w:rtl/>
          <w:lang w:eastAsia="en-US"/>
        </w:rPr>
      </w:pPr>
      <w:r w:rsidRPr="00735D0C">
        <w:rPr>
          <w:rFonts w:hint="cs"/>
          <w:rtl/>
          <w:lang w:eastAsia="en-US"/>
        </w:rPr>
        <w:t>ثم ينتقل إلى أن التوسط في الأمثلة الثلاثة إلى ما ينبغي أن يكون، وعلى عادته يتدرج من قوي إلى أقوى، ومن حسن إلى أحسن، حيث قال: وكلما أردت الإلغاء فالتأخير أقوى. </w:t>
      </w:r>
    </w:p>
    <w:p w:rsidR="007F464F" w:rsidRPr="00735D0C" w:rsidRDefault="007F464F" w:rsidP="007F464F">
      <w:pPr>
        <w:pStyle w:val="Abstract"/>
        <w:bidi/>
        <w:spacing w:after="0" w:line="240" w:lineRule="exact"/>
        <w:ind w:firstLine="173"/>
        <w:rPr>
          <w:rtl/>
          <w:lang w:eastAsia="en-US"/>
        </w:rPr>
      </w:pPr>
      <w:r w:rsidRPr="00735D0C">
        <w:rPr>
          <w:rFonts w:hint="cs"/>
          <w:rtl/>
          <w:lang w:eastAsia="en-US"/>
        </w:rPr>
        <w:t>وقد سألتك من قبل عن التنوين في قوله: وكلٌّ عربي؛ معناه: أن التأخير أقوى من التوسط هذا مراد سيبويه، مع الإلغاء، وكلٌّ عربي أي: وكل وجه من هذين الوجهين أو من الوجوه عربي؛ أن توسط مع الإلغاء، وعربي أن تؤخر مع الإلغاء. وقد جاء بالشاهد الذي سبق ذكره، ونسبه إلى يونس، وهو شيخ سيبويه، وأستاذه.</w:t>
      </w:r>
    </w:p>
    <w:p w:rsidR="007F464F" w:rsidRPr="00735D0C" w:rsidRDefault="007F464F" w:rsidP="007F464F">
      <w:pPr>
        <w:pStyle w:val="Abstract"/>
        <w:bidi/>
        <w:spacing w:after="0" w:line="240" w:lineRule="exact"/>
        <w:ind w:firstLine="173"/>
        <w:rPr>
          <w:rtl/>
          <w:lang w:eastAsia="en-US"/>
        </w:rPr>
      </w:pPr>
      <w:r w:rsidRPr="00735D0C">
        <w:rPr>
          <w:rFonts w:hint="cs"/>
          <w:rtl/>
          <w:lang w:eastAsia="en-US"/>
        </w:rPr>
        <w:t>يقول: أنشدناه يونس مرفوعًا عنهم.</w:t>
      </w:r>
    </w:p>
    <w:p w:rsidR="007F464F" w:rsidRPr="00735D0C" w:rsidRDefault="007F464F" w:rsidP="007F464F">
      <w:pPr>
        <w:pStyle w:val="Abstract"/>
        <w:bidi/>
        <w:spacing w:after="0" w:line="240" w:lineRule="exact"/>
        <w:ind w:firstLine="173"/>
        <w:rPr>
          <w:rtl/>
          <w:lang w:eastAsia="en-US"/>
        </w:rPr>
      </w:pPr>
      <w:r w:rsidRPr="00735D0C">
        <w:rPr>
          <w:rFonts w:hint="cs"/>
          <w:rtl/>
          <w:lang w:eastAsia="en-US"/>
        </w:rPr>
        <w:t>علام يعود الضمير في قوله: عنهم؟</w:t>
      </w:r>
    </w:p>
    <w:p w:rsidR="007F464F" w:rsidRPr="00735D0C" w:rsidRDefault="007F464F" w:rsidP="007F464F">
      <w:pPr>
        <w:pStyle w:val="Abstract"/>
        <w:bidi/>
        <w:spacing w:after="0" w:line="240" w:lineRule="exact"/>
        <w:ind w:firstLine="173"/>
        <w:rPr>
          <w:rtl/>
          <w:lang w:eastAsia="en-US"/>
        </w:rPr>
      </w:pPr>
      <w:r w:rsidRPr="00735D0C">
        <w:rPr>
          <w:rFonts w:hint="cs"/>
          <w:rtl/>
          <w:lang w:eastAsia="en-US"/>
        </w:rPr>
        <w:t>على العرب الفصحاء.</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فالمبتدأ كما جاء "فيها أبوك" أو "فيها أخوك" جاء كذلك اللؤم مبتدأ مؤخرًا، وتوسط الفعل، وهو عربي إلا أن التأخير يكون أقوى في ذلك.</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2. اجتماع اليقين مع الشك:</w:t>
      </w:r>
    </w:p>
    <w:p w:rsidR="007F464F" w:rsidRPr="00735D0C" w:rsidRDefault="007F464F" w:rsidP="007F464F">
      <w:pPr>
        <w:pStyle w:val="Abstract"/>
        <w:bidi/>
        <w:spacing w:after="0" w:line="240" w:lineRule="exact"/>
        <w:ind w:firstLine="173"/>
        <w:rPr>
          <w:rtl/>
          <w:lang w:eastAsia="en-US"/>
        </w:rPr>
      </w:pPr>
      <w:r w:rsidRPr="00735D0C">
        <w:rPr>
          <w:rFonts w:hint="cs"/>
          <w:rtl/>
          <w:lang w:eastAsia="en-US"/>
        </w:rPr>
        <w:t>ثم يقول سيبويه -علة من علله، علة القوة في التأخير-: لأنه "إنما" يجيء بالشك بعدما يمضي كلامُه على اليقين.</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لنا هنا أكثر من وقفة:</w:t>
      </w:r>
    </w:p>
    <w:p w:rsidR="007F464F" w:rsidRPr="00735D0C" w:rsidRDefault="007F464F" w:rsidP="007F464F">
      <w:pPr>
        <w:pStyle w:val="Abstract"/>
        <w:bidi/>
        <w:spacing w:after="0" w:line="240" w:lineRule="exact"/>
        <w:ind w:firstLine="173"/>
        <w:rPr>
          <w:rtl/>
          <w:lang w:eastAsia="en-US"/>
        </w:rPr>
      </w:pPr>
      <w:r w:rsidRPr="00735D0C">
        <w:rPr>
          <w:rFonts w:hint="cs"/>
          <w:rtl/>
          <w:lang w:eastAsia="en-US"/>
        </w:rPr>
        <w:t>الأولى: تأكيد سيبويه كلامه بـ"إنما"، كما قال عبد القاهر: و"إنما" لا تتأتى إلا من بليغ، وإذا جاء بـ"إنما" على القصر فكأن العلة محصورة هنا.</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والكلام عن العلل لخصه الخليل بكلمة طيبة ذكرها من تحدثوا في العلل، فإن شيخ سيبويه الخليلَ بن أحمد يقول بعبارة سهلة مصوِّرًا هذه اللغة تصويرَ بِناية (عمارة) فلما دخل الخليل الشيخُ نظر إلى مواطن الجمال، البناء الذي بنى البيت ليس موجودًا فأخذ يتفقدُه الخليل، ويقول: إن حسن هذا أن من بناه وضع هذا هكذا، ووضع هذا فوقه، ووضع هذا تحته.</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و كأنَّ الخليل بهذا الفكر المتقدم يريد أن يقول لنا: لا تختلفوا حول العلة، وكأنه يقول لنا: إنَّ اللغة العربية لغة جميلة يراها الناظرون، ولا ينكر جمالها إلَّا من عمي بصره وقلبه، فإذا اتفقتم على جمالها فلا تختلفوا في أسباب هذا الجمال.</w:t>
      </w:r>
    </w:p>
    <w:p w:rsidR="007F464F" w:rsidRPr="00735D0C" w:rsidRDefault="007F464F" w:rsidP="007F464F">
      <w:pPr>
        <w:pStyle w:val="Abstract"/>
        <w:bidi/>
        <w:spacing w:after="0" w:line="240" w:lineRule="exact"/>
        <w:ind w:firstLine="173"/>
        <w:rPr>
          <w:rtl/>
          <w:lang w:eastAsia="en-US"/>
        </w:rPr>
      </w:pPr>
      <w:r w:rsidRPr="00735D0C">
        <w:rPr>
          <w:rFonts w:hint="cs"/>
          <w:rtl/>
          <w:lang w:eastAsia="en-US"/>
        </w:rPr>
        <w:t>وسيبويه يقول لنا: وإنَّما كان التأخير أقوى -وهو بذلك يضيق المسألة من باب تقصير الزمن في التفكير في العلة، لأن هذه العلة قوية، تؤثر في كل عقل يفكر- لأنه إنَّما يجيء -والفاعل في يجيء ضمير مستتر يعود على مذكور كان موجودًا في أول الباب، حين قال: تُستعمل؛ أي تستعملها أنت ويستعملها غيرك أو أن فاعل يجيء ضمير مستتر تقديره "هو" يعود على اللعين، على صاحب البيت أبي الأراجيز:</w:t>
      </w:r>
    </w:p>
    <w:tbl>
      <w:tblPr>
        <w:bidiVisual/>
        <w:tblW w:w="0" w:type="auto"/>
        <w:jc w:val="center"/>
        <w:tblLook w:val="01E0"/>
      </w:tblPr>
      <w:tblGrid>
        <w:gridCol w:w="2353"/>
        <w:gridCol w:w="610"/>
        <w:gridCol w:w="2289"/>
      </w:tblGrid>
      <w:tr w:rsidR="007F464F" w:rsidRPr="00735D0C" w:rsidTr="007F464F">
        <w:trPr>
          <w:trHeight w:hRule="exact" w:val="243"/>
          <w:jc w:val="center"/>
        </w:trPr>
        <w:tc>
          <w:tcPr>
            <w:tcW w:w="2909" w:type="dxa"/>
            <w:vAlign w:val="center"/>
          </w:tcPr>
          <w:p w:rsidR="007F464F" w:rsidRPr="00735D0C" w:rsidRDefault="007F464F" w:rsidP="007F464F">
            <w:pPr>
              <w:pStyle w:val="Abstract"/>
              <w:bidi/>
              <w:spacing w:after="0" w:line="240" w:lineRule="exact"/>
              <w:ind w:firstLine="173"/>
              <w:rPr>
                <w:lang w:eastAsia="en-US"/>
              </w:rPr>
            </w:pPr>
            <w:r w:rsidRPr="00735D0C">
              <w:rPr>
                <w:rFonts w:hint="cs"/>
                <w:rtl/>
                <w:lang w:eastAsia="en-US"/>
              </w:rPr>
              <w:t>يابن اللؤم توعدني</w:t>
            </w:r>
            <w:r w:rsidRPr="00735D0C">
              <w:rPr>
                <w:rtl/>
                <w:lang w:eastAsia="en-US"/>
              </w:rPr>
              <w:br/>
            </w:r>
          </w:p>
        </w:tc>
        <w:tc>
          <w:tcPr>
            <w:tcW w:w="709" w:type="dxa"/>
            <w:vAlign w:val="center"/>
          </w:tcPr>
          <w:p w:rsidR="007F464F" w:rsidRPr="00735D0C" w:rsidRDefault="007F464F" w:rsidP="007F464F">
            <w:pPr>
              <w:pStyle w:val="Abstract"/>
              <w:bidi/>
              <w:spacing w:after="0" w:line="240" w:lineRule="exact"/>
              <w:ind w:firstLine="173"/>
              <w:rPr>
                <w:rtl/>
                <w:lang w:eastAsia="en-US"/>
              </w:rPr>
            </w:pPr>
            <w:r w:rsidRPr="00735D0C">
              <w:rPr>
                <w:rFonts w:hint="cs"/>
                <w:rtl/>
                <w:lang w:eastAsia="en-US"/>
              </w:rPr>
              <w:t>*</w:t>
            </w:r>
          </w:p>
        </w:tc>
        <w:tc>
          <w:tcPr>
            <w:tcW w:w="2909" w:type="dxa"/>
            <w:vAlign w:val="center"/>
          </w:tcPr>
          <w:p w:rsidR="007F464F" w:rsidRPr="00735D0C" w:rsidRDefault="007F464F" w:rsidP="007F464F">
            <w:pPr>
              <w:pStyle w:val="Abstract"/>
              <w:bidi/>
              <w:spacing w:after="0" w:line="240" w:lineRule="exact"/>
              <w:ind w:firstLine="173"/>
              <w:rPr>
                <w:rtl/>
                <w:lang w:eastAsia="en-US"/>
              </w:rPr>
            </w:pPr>
            <w:r w:rsidRPr="00735D0C">
              <w:rPr>
                <w:rFonts w:hint="cs"/>
                <w:rtl/>
                <w:lang w:eastAsia="en-US"/>
              </w:rPr>
              <w:t>.... .... .... ....</w:t>
            </w:r>
            <w:r w:rsidRPr="00735D0C">
              <w:rPr>
                <w:rFonts w:hint="cs"/>
                <w:rtl/>
                <w:lang w:eastAsia="en-US"/>
              </w:rPr>
              <w:br/>
            </w:r>
          </w:p>
        </w:tc>
      </w:tr>
    </w:tbl>
    <w:p w:rsidR="007F464F" w:rsidRPr="00735D0C" w:rsidRDefault="007F464F" w:rsidP="007F464F">
      <w:pPr>
        <w:pStyle w:val="Abstract"/>
        <w:bidi/>
        <w:spacing w:after="0" w:line="240" w:lineRule="exact"/>
        <w:ind w:firstLine="173"/>
        <w:rPr>
          <w:rtl/>
          <w:lang w:eastAsia="en-US"/>
        </w:rPr>
      </w:pPr>
      <w:r w:rsidRPr="00735D0C">
        <w:rPr>
          <w:rFonts w:hint="cs"/>
          <w:rtl/>
          <w:lang w:eastAsia="en-US"/>
        </w:rPr>
        <w:t>وجاء بها حال الإلغاء.</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ثم استدرك سيبويه فقال: وإنما كان التأخير أقوى؛ لأنه يجيء بالشك بعدما يمضي كلامه على اليقين.</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معنى ذلك: أن الكلام مضى على اليقين، وكأن اليقين يجيء أولًا، وكأنه يسبق الشك، وكأنه هو الذي يُبنى عليه، فالأصل حتى في الفقه أن يترك الشك، هكذا قال الإمام فمضى كلام المتكلم على اليقين، ثم جاء بالشك، فمن ثم كان التأخير، ووضح ذلك بمثال ربما يكون بعيدًا عن الباب والإعمال والإلغاء، وهو من باب توضيح المعاني النحوية بالأمثلة.</w:t>
      </w:r>
    </w:p>
    <w:p w:rsidR="007F464F" w:rsidRPr="00735D0C" w:rsidRDefault="007F464F" w:rsidP="007F464F">
      <w:pPr>
        <w:pStyle w:val="Abstract"/>
        <w:bidi/>
        <w:spacing w:after="0" w:line="240" w:lineRule="exact"/>
        <w:ind w:firstLine="173"/>
        <w:rPr>
          <w:rtl/>
          <w:lang w:eastAsia="en-US"/>
        </w:rPr>
      </w:pPr>
      <w:r w:rsidRPr="00735D0C">
        <w:rPr>
          <w:rFonts w:hint="cs"/>
          <w:rtl/>
          <w:lang w:eastAsia="en-US"/>
        </w:rPr>
        <w:lastRenderedPageBreak/>
        <w:t>وهذه أيضًا تحتاج إلى دراسة في كتاب سيبويه تستطيع أن تضع لها عنوانًا جميلًا زكيًّا هو "توضيح القواعد بالأمثلة"، ليست الأمثلة النحوية التي توضح القاعدة المراد شرحها، وإنما يوضح المعاني النحوية أو العلل النحوية بأمثلة يفهمها الناس، فقال:</w:t>
      </w:r>
    </w:p>
    <w:p w:rsidR="007F464F" w:rsidRPr="00735D0C" w:rsidRDefault="007F464F" w:rsidP="007F464F">
      <w:pPr>
        <w:pStyle w:val="Abstract"/>
        <w:bidi/>
        <w:spacing w:after="0" w:line="240" w:lineRule="exact"/>
        <w:ind w:firstLine="173"/>
        <w:rPr>
          <w:rtl/>
          <w:lang w:eastAsia="en-US"/>
        </w:rPr>
      </w:pPr>
      <w:r w:rsidRPr="00735D0C">
        <w:rPr>
          <w:rFonts w:hint="cs"/>
          <w:rtl/>
          <w:lang w:eastAsia="en-US"/>
        </w:rPr>
        <w:t>كما تقول: عبد الله صاحب ذاك بلغني.</w:t>
      </w:r>
    </w:p>
    <w:p w:rsidR="007F464F" w:rsidRPr="00735D0C" w:rsidRDefault="007F464F" w:rsidP="007F464F">
      <w:pPr>
        <w:pStyle w:val="Abstract"/>
        <w:bidi/>
        <w:spacing w:after="0" w:line="240" w:lineRule="exact"/>
        <w:ind w:firstLine="173"/>
        <w:rPr>
          <w:rtl/>
          <w:lang w:eastAsia="en-US"/>
        </w:rPr>
      </w:pPr>
      <w:r w:rsidRPr="00735D0C">
        <w:rPr>
          <w:rFonts w:hint="cs"/>
          <w:rtl/>
          <w:lang w:eastAsia="en-US"/>
        </w:rPr>
        <w:t>معنى ذلك: كثيرًا ما نقول: كذا وكذا وكذا بلغني، وكذا وكذا وكذا نُبئت به، كأنك لست على يقين مما تقول؛ فقد يُبلغك الصادق، وقد يبلغك الكاذب، ومن ثمَّ أنت في شك إذا قلت: بلغني، إذا أردت أن تقف عند هذا الأسلوب: عبد الله:</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عبد: مبتدأ، ولفظ الجلالة: مضاف إليه، وصاحب: خبر المبتدأ مرفوع وعلامة رفعه الضمة، وذا صاحب ذاك "يعني: صاحب هذا" مضاف إليه مبني؛ لأنه كما تعلم صاحب: اسم إشارة، والكاف في اسم الإشارة "ذاك" كاف حرفية كما ذكرها النحاة، ولكنهم قالوا: تتصرف تصرف الكاف الاسمية.</w:t>
      </w:r>
    </w:p>
    <w:p w:rsidR="007F464F" w:rsidRPr="00735D0C" w:rsidRDefault="007F464F" w:rsidP="007F464F">
      <w:pPr>
        <w:pStyle w:val="Abstract"/>
        <w:bidi/>
        <w:spacing w:after="0" w:line="240" w:lineRule="exact"/>
        <w:ind w:firstLine="173"/>
        <w:rPr>
          <w:rtl/>
          <w:lang w:eastAsia="en-US"/>
        </w:rPr>
      </w:pPr>
      <w:r w:rsidRPr="00735D0C">
        <w:rPr>
          <w:rFonts w:hint="cs"/>
          <w:rtl/>
          <w:lang w:eastAsia="en-US"/>
        </w:rPr>
        <w:t>ما معنى هذه العبارة؟</w:t>
      </w:r>
    </w:p>
    <w:p w:rsidR="007F464F" w:rsidRPr="00735D0C" w:rsidRDefault="007F464F" w:rsidP="00735D0C">
      <w:pPr>
        <w:pStyle w:val="Abstract"/>
        <w:bidi/>
        <w:spacing w:after="0" w:line="240" w:lineRule="exact"/>
        <w:ind w:firstLine="173"/>
        <w:rPr>
          <w:lang w:eastAsia="en-US"/>
        </w:rPr>
      </w:pPr>
      <w:r w:rsidRPr="00735D0C">
        <w:rPr>
          <w:rFonts w:hint="cs"/>
          <w:rtl/>
          <w:lang w:eastAsia="en-US"/>
        </w:rPr>
        <w:t xml:space="preserve">الجواب: أنت تقول: ذاكَ وتقول: ذاكِ وتقول: </w:t>
      </w:r>
      <w:r w:rsidR="00735D0C" w:rsidRPr="00735D0C">
        <w:rPr>
          <w:rFonts w:ascii="Tahoma" w:hAnsi="Tahoma" w:cs="DecoType Thuluth" w:hint="cs"/>
          <w:rtl/>
        </w:rPr>
        <w:t>{</w:t>
      </w:r>
      <w:r w:rsidR="00735D0C" w:rsidRPr="00735D0C">
        <w:rPr>
          <w:rFonts w:ascii="QCF_P239" w:hAnsi="QCF_P239" w:cs="QCF_P239"/>
          <w:rtl/>
        </w:rPr>
        <w:t>ﰁ ﰂ ﰃ ﰄ</w:t>
      </w:r>
      <w:r w:rsidR="00735D0C" w:rsidRPr="00735D0C">
        <w:rPr>
          <w:rFonts w:ascii="QCF_P239" w:hAnsi="QCF_P239" w:cs="DecoType Thuluth"/>
          <w:rtl/>
        </w:rPr>
        <w:t>}</w:t>
      </w:r>
      <w:r w:rsidRPr="00735D0C">
        <w:rPr>
          <w:rFonts w:hint="cs"/>
          <w:rtl/>
          <w:lang w:eastAsia="en-US"/>
        </w:rPr>
        <w:t xml:space="preserve"> [يوسف: 37</w:t>
      </w:r>
      <w:r w:rsidRPr="00735D0C">
        <w:rPr>
          <w:rtl/>
          <w:lang w:eastAsia="en-US"/>
        </w:rPr>
        <w:t>]</w:t>
      </w:r>
      <w:r w:rsidRPr="00735D0C">
        <w:rPr>
          <w:rFonts w:hint="cs"/>
          <w:rtl/>
          <w:lang w:eastAsia="en-US"/>
        </w:rPr>
        <w:t xml:space="preserve">، وتقول: </w:t>
      </w:r>
      <w:r w:rsidR="00735D0C" w:rsidRPr="00735D0C">
        <w:rPr>
          <w:rFonts w:ascii="Tahoma" w:hAnsi="Tahoma" w:cs="DecoType Thuluth" w:hint="cs"/>
          <w:rtl/>
        </w:rPr>
        <w:t>{</w:t>
      </w:r>
      <w:r w:rsidR="00735D0C" w:rsidRPr="00735D0C">
        <w:rPr>
          <w:rFonts w:ascii="QCF_P436" w:hAnsi="QCF_P436" w:cs="QCF_P436"/>
          <w:rtl/>
        </w:rPr>
        <w:t>ﮀ ﮁ ﮂ</w:t>
      </w:r>
      <w:r w:rsidR="00735D0C" w:rsidRPr="00735D0C">
        <w:rPr>
          <w:rFonts w:ascii="QCF_P436" w:hAnsi="QCF_P436" w:cs="DecoType Thuluth"/>
          <w:rtl/>
        </w:rPr>
        <w:t>}</w:t>
      </w:r>
      <w:r w:rsidRPr="00735D0C">
        <w:rPr>
          <w:rFonts w:hint="cs"/>
          <w:rtl/>
          <w:lang w:eastAsia="en-US"/>
        </w:rPr>
        <w:t xml:space="preserve"> [الأنعام: 101</w:t>
      </w:r>
      <w:r w:rsidRPr="00735D0C">
        <w:rPr>
          <w:rtl/>
          <w:lang w:eastAsia="en-US"/>
        </w:rPr>
        <w:t>]</w:t>
      </w:r>
      <w:r w:rsidRPr="00735D0C">
        <w:rPr>
          <w:rFonts w:hint="cs"/>
          <w:rtl/>
          <w:lang w:eastAsia="en-US"/>
        </w:rPr>
        <w:t xml:space="preserve">، وتقول كما قال ربنا: </w:t>
      </w:r>
      <w:r w:rsidR="00735D0C" w:rsidRPr="00735D0C">
        <w:rPr>
          <w:rFonts w:ascii="Tahoma" w:hAnsi="Tahoma" w:cs="DecoType Thuluth" w:hint="cs"/>
          <w:rtl/>
        </w:rPr>
        <w:t>{</w:t>
      </w:r>
      <w:r w:rsidR="00735D0C" w:rsidRPr="00735D0C">
        <w:rPr>
          <w:rFonts w:ascii="QCF_P239" w:hAnsi="QCF_P239" w:cs="QCF_P239"/>
          <w:rtl/>
        </w:rPr>
        <w:t>ﭴ ﭵ ﭶ ﭷ</w:t>
      </w:r>
      <w:r w:rsidR="00735D0C" w:rsidRPr="00735D0C">
        <w:rPr>
          <w:rFonts w:ascii="QCF_P239" w:hAnsi="QCF_P239" w:cs="DecoType Thuluth"/>
          <w:rtl/>
        </w:rPr>
        <w:t>}</w:t>
      </w:r>
      <w:r w:rsidRPr="00735D0C">
        <w:rPr>
          <w:rFonts w:hint="cs"/>
          <w:rtl/>
          <w:lang w:eastAsia="en-US"/>
        </w:rPr>
        <w:t xml:space="preserve"> [يوسف: 32</w:t>
      </w:r>
      <w:r w:rsidRPr="00735D0C">
        <w:rPr>
          <w:rtl/>
          <w:lang w:eastAsia="en-US"/>
        </w:rPr>
        <w:t>]</w:t>
      </w:r>
      <w:r w:rsidRPr="00735D0C">
        <w:rPr>
          <w:rFonts w:hint="cs"/>
          <w:rtl/>
          <w:lang w:eastAsia="en-US"/>
        </w:rPr>
        <w:t xml:space="preserve"> معنى هذا: أن الكاف وهي حرف تصرفت تصرف الاسم؛ فجاءت بالفتح مع المفرد المذكر، ذاك كتاب سيبويه، أفهم من قولك هذا أنك تخاطب مفردًا مذكرًا، فإن خاطبت امرأة تقرأ في الكتاب قلت لها: "ذاكِ كتاب سيبويه"، وتقول: "ذلكما" إذا خاطبت اثنين، وتقول: "ذلكم" إذا خاطبت جماعة، وتقول: "ذلكن" إذا خاطبت جماعة الإناث، الأصل في الحرف ألا يتصرف؛ لكنها مختصة، وهذا الاختصاص ربما لا تجده مكتوبًا في كثير من الكتب؛ أن من الأمور المختصة الحرف الذي هو الكاف في اسم الإشارة؛ حيث إنها كاف حرفية تتصرف تصرف الكاف الاسمية.</w:t>
      </w:r>
    </w:p>
    <w:p w:rsidR="007F464F" w:rsidRPr="00735D0C" w:rsidRDefault="007F464F" w:rsidP="007F464F">
      <w:pPr>
        <w:pStyle w:val="Abstract"/>
        <w:bidi/>
        <w:spacing w:after="0" w:line="240" w:lineRule="exact"/>
        <w:ind w:firstLine="173"/>
        <w:rPr>
          <w:rtl/>
          <w:lang w:eastAsia="en-US"/>
        </w:rPr>
      </w:pPr>
      <w:r w:rsidRPr="00735D0C">
        <w:rPr>
          <w:rFonts w:hint="cs"/>
          <w:rtl/>
          <w:lang w:eastAsia="en-US"/>
        </w:rPr>
        <w:t>فما الكاف الاسمية التي تتصرف؟</w:t>
      </w:r>
    </w:p>
    <w:p w:rsidR="007F464F" w:rsidRPr="00735D0C" w:rsidRDefault="007F464F" w:rsidP="00735D0C">
      <w:pPr>
        <w:pStyle w:val="Abstract"/>
        <w:bidi/>
        <w:spacing w:after="0" w:line="240" w:lineRule="exact"/>
        <w:ind w:firstLine="173"/>
        <w:rPr>
          <w:lang w:eastAsia="en-US"/>
        </w:rPr>
      </w:pPr>
      <w:r w:rsidRPr="00735D0C">
        <w:rPr>
          <w:rFonts w:hint="cs"/>
          <w:rtl/>
          <w:lang w:eastAsia="en-US"/>
        </w:rPr>
        <w:t xml:space="preserve">الجواب: هي كاف الضمير: "كتابكَ مفيدٌ" كتاب: مضاف، والكاف: مضاف إليه، "كتابكِ" وبعض الناس يخطئ، ويقول: "كتابكي" ويكتبها كافًا بعدها ياء وهذا فحش، كتابكِ كاف تحتها كسرها، "كتابكِ مفيد"، وتقول في المثنى: "كتابكما مفيد"، وتقول: "كتابكم خير لكم"، وتقول: "كتابكُنَّ بين أيديكُنَّ فاقرأنَ فيه"، على نحو ما تقول في آية الأحزاب: </w:t>
      </w:r>
      <w:r w:rsidR="00735D0C" w:rsidRPr="00735D0C">
        <w:rPr>
          <w:rFonts w:ascii="Tahoma" w:hAnsi="Tahoma" w:cs="DecoType Thuluth" w:hint="cs"/>
          <w:rtl/>
        </w:rPr>
        <w:t>{</w:t>
      </w:r>
      <w:r w:rsidR="00735D0C" w:rsidRPr="00735D0C">
        <w:rPr>
          <w:rFonts w:ascii="QCF_P422" w:hAnsi="QCF_P422" w:cs="QCF_P422"/>
          <w:rtl/>
        </w:rPr>
        <w:t>ﮒ ﮓ ﮔ ﮕ ﮖ ﮗ ﮘ ﮙ ﮚ</w:t>
      </w:r>
      <w:r w:rsidR="00735D0C" w:rsidRPr="00735D0C">
        <w:rPr>
          <w:rFonts w:ascii="QCF_P422" w:hAnsi="QCF_P422" w:cs="DecoType Thuluth"/>
          <w:rtl/>
        </w:rPr>
        <w:t>}</w:t>
      </w:r>
      <w:r w:rsidRPr="00735D0C">
        <w:rPr>
          <w:rFonts w:hint="cs"/>
          <w:rtl/>
          <w:lang w:eastAsia="en-US"/>
        </w:rPr>
        <w:t xml:space="preserve"> [الأحزاب: 34</w:t>
      </w:r>
      <w:r w:rsidRPr="00735D0C">
        <w:rPr>
          <w:rtl/>
          <w:lang w:eastAsia="en-US"/>
        </w:rPr>
        <w:t>]</w:t>
      </w:r>
      <w:r w:rsidRPr="00735D0C">
        <w:rPr>
          <w:rFonts w:hint="cs"/>
          <w:rtl/>
          <w:lang w:eastAsia="en-US"/>
        </w:rPr>
        <w:t>.</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إذن، هذه هي الكاف التي تتصرف وحق لها؛ لأنها اسم. أما الكاف الملحقة باسم الإشارة فإنها ليست إلا حرفًا، والحرف في أصله لا يتصرف، لكنها تصرفت تصرف الأسماء، ولعل في هذا التصرف ما يفيد أنها جاورت الإشارة، والإشارة فيها توضيح، ومن التوضيح أن يأتي الضمير بعدها مبينًا لمفرد مذكر لمفردة مؤنثة لغير ذلك نشير إلى ماذا، هذا هو السر الذي نستنتجه، أو نحاول أن نقف عليه حين نقرأ قول النحاة: إنها حرف يتصرف تصرف الأسماء.</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"عبد الله صاحب ذاك بلغني"، وكما قال من يقول: "ذاك" كلمة "تدري؟" على الاستفهام، يعني: أتدري أن ذلك صدق؟ أتدري أن ذلك كذب؟ إذن هو بنى كلامه "تدري؟ تعرف؟ بلغني" مما يدل على أن هناك شكًّا، فأخَّرَ ما لم يعمل في أول كلامه، وإنما جعل ذلك فيما بلغه بعد ما مضى كلامه على اليقين.</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فإذا ابتدأ كلامه على ما في نيته من الشك أعمل الفعل، أنت تعلم أن الفعل أساسه "أظن" بابه ظن، أعمل الفعل: قدم أو أخر، وهذه فسحة في كتاب سيبويه بالاطلاع على شيء جديد، هذا الشيء الجديد هو الاستطراد في بيان المعاني؛ إن شئت قلت: هو الفرق بين الإعمال وبين الإهمال بالنظر إلى المعنى، إذا ابتدأ المتكلم بالشك أعمل "ظن وحسب وزعم وخال وأرى"؛ سواء قدم أو أخر.</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ثم انتقل سيبويه بعد ذلك بنا إلى قوله "كما قال"، وانتبه إلى الكاف التشبيهية في قوله "كما قال" أي: أنه أعمل قدّم أو أخّر كما قال وذكر مثالين، فما هذان المثالان؟ زيدًا رأيتُ، ورأيتُ زيدًا، في قول سيبويه: زيدًا رأيتُ أي زيدًا رأيتُه، إنَّما قدم المفعول ليس من باب الاشتغال، وإنما قدّم المفعول: طعامًا أكلتُ، ماءً باردًا شربت، كتابًا مفيدًا قرأت. والمفعول معمول، وأخّر الفعل رأى.</w:t>
      </w:r>
    </w:p>
    <w:p w:rsidR="007F464F" w:rsidRPr="00735D0C" w:rsidRDefault="007F464F" w:rsidP="007F464F">
      <w:pPr>
        <w:pStyle w:val="Abstract"/>
        <w:bidi/>
        <w:spacing w:after="0" w:line="240" w:lineRule="exact"/>
        <w:ind w:firstLine="173"/>
        <w:rPr>
          <w:rtl/>
          <w:lang w:eastAsia="en-US"/>
        </w:rPr>
      </w:pPr>
      <w:r w:rsidRPr="00735D0C">
        <w:rPr>
          <w:rFonts w:hint="cs"/>
          <w:rtl/>
          <w:lang w:eastAsia="en-US"/>
        </w:rPr>
        <w:t xml:space="preserve">وفي المثال الثاني قال: ورأيت زيدًا، ابتدأ بالفعل وهو رأى، ثم أخر المعمول وهو زيدًا، هنا عبر سيبويه بـ"رأى" البصرية، مع أنه في باب يتعلق بالقلوب التي هي محل اليقين والشك، فلماذا آثر سيبويه أن يعبر بـ"رأى" البصرية؟ </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الجواب: أن بينها وبين القلبية ملابسة؛ إنها ملابسة الصورة ملابسة الشكل، كأن رأى البصرية على هيئة رأى القلبية، ومن ثم آثر التعبير بها لما بينها من الملابسة، وآثر التعبير بها بصريةً لوضوحِ التمثيلِ بها، وعدم الإطالة، فكأنه -رحمه الله- حين قال: زيدًا رأيتُ جاء بجملة مختصرة، فيها مفعول به مقدم، وهو زيدًا وفيها عامل مؤخر وهو رأيت بتعبير سيبويه والتفصيل أنت تعرفه، "رأى" فعل ماض، و"التاء" فاعل.</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lastRenderedPageBreak/>
        <w:t>وجاء بالمثال الثاني فصدر فيه الفعل العامل وهو رأى، وجاء بالتاء فاعلًا معه، ثم أخر المفعول به، هنا نسأل هذا السؤال: هل المقصود بالمؤخر العامل أم المقصود بالمؤخر المعمول؟</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والحق: أن المقصود هو العامل، يعني في قول سيبويه: "زيدًا رأيت" أخر الفعل، وفي قوله: "رأيت زيدًا" قدم الفعل، وكذلك القول في الفعل الناصب للمفعولين، أي أنك تقول: أظن زيدًا قائمًا، وتقول: زيدًا قائمًا أظن، إلَّا أن الذي يهديك سواء السبيل هو أن تعلم أن الذي يقول: أظن زيدًا قائمًا، وزيدًا قائمًا أظن ابتدأ بالشك، ولم يبتدئ باليقين، ثم اعتراه بعد اليقين شك، كما قال سيبويه.</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وكأنه يريد أن يقول لنا: إن بناء الكلام على اليقين سواء كان يقينًا حقيقيًّا أو كان يقينًا مرادًا أهمل، ولم يُعْمِل، فإذا أعمل دل ذلك على أنه بنى كلامه على الشك، فأعمل الفعل تقدم أو تأخر، وهذا مما لا تجده في غير كتاب سيبويه. إنَّما يُعْنَى الناس بسرد الأفعال وبيان عملها وصور الإعمال والإهمال والتعليق، وأمثلة التعليق دون ما روية كهذه الروية.</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3. طول الكلام يضعف التأخير مع الإعمال:</w:t>
      </w:r>
    </w:p>
    <w:p w:rsidR="007F464F" w:rsidRPr="00735D0C" w:rsidRDefault="007F464F" w:rsidP="007F464F">
      <w:pPr>
        <w:pStyle w:val="Abstract"/>
        <w:bidi/>
        <w:spacing w:after="0" w:line="240" w:lineRule="exact"/>
        <w:ind w:firstLine="173"/>
        <w:rPr>
          <w:rtl/>
          <w:lang w:eastAsia="en-US"/>
        </w:rPr>
      </w:pPr>
      <w:r w:rsidRPr="00735D0C">
        <w:rPr>
          <w:rFonts w:hint="cs"/>
          <w:rtl/>
          <w:lang w:eastAsia="en-US"/>
        </w:rPr>
        <w:t>يقول سيبويه: وكلما طال الكلام ضعف التأخير إذا أعملته، وذلك قولك: زيدًا أخاك أظن.</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 xml:space="preserve">قبل هذه العبارة مباشرة قال: فإذا ابتدأ كلامه </w:t>
      </w:r>
      <w:r w:rsidRPr="00735D0C">
        <w:rPr>
          <w:rtl/>
          <w:lang w:eastAsia="en-US"/>
        </w:rPr>
        <w:t>–</w:t>
      </w:r>
      <w:r w:rsidRPr="00735D0C">
        <w:rPr>
          <w:rFonts w:hint="cs"/>
          <w:rtl/>
          <w:lang w:eastAsia="en-US"/>
        </w:rPr>
        <w:t>أي: المتكلم- على ما في نيته من الشك أعملَ الفعل؛ قدَّمَ أو أخَّر.</w:t>
      </w:r>
    </w:p>
    <w:p w:rsidR="007F464F" w:rsidRPr="00735D0C" w:rsidRDefault="007F464F" w:rsidP="007F464F">
      <w:pPr>
        <w:pStyle w:val="Abstract"/>
        <w:bidi/>
        <w:spacing w:after="0" w:line="240" w:lineRule="exact"/>
        <w:ind w:firstLine="173"/>
        <w:rPr>
          <w:rtl/>
          <w:lang w:eastAsia="en-US"/>
        </w:rPr>
      </w:pPr>
      <w:r w:rsidRPr="00735D0C">
        <w:rPr>
          <w:rFonts w:hint="cs"/>
          <w:rtl/>
          <w:lang w:eastAsia="en-US"/>
        </w:rPr>
        <w:t>وضرب المثال بالبصرية التي تنتقل بك إلى القلبية بسهولة ويسر وإتقان، بعد أن قال ذلك وقرره قال: وكلما طال الكلام ضعف التأخير إذا أعملته، وذلك قولك: زيدًا أخاك أظن، أي: أظن زيدًا أخاك.</w:t>
      </w:r>
    </w:p>
    <w:p w:rsidR="007F464F" w:rsidRPr="00735D0C" w:rsidRDefault="007F464F" w:rsidP="007F464F">
      <w:pPr>
        <w:pStyle w:val="Abstract"/>
        <w:bidi/>
        <w:spacing w:after="0" w:line="240" w:lineRule="exact"/>
        <w:ind w:firstLine="173"/>
        <w:rPr>
          <w:rtl/>
          <w:lang w:eastAsia="en-US"/>
        </w:rPr>
      </w:pPr>
      <w:r w:rsidRPr="00735D0C">
        <w:rPr>
          <w:rFonts w:hint="cs"/>
          <w:rtl/>
          <w:lang w:eastAsia="en-US"/>
        </w:rPr>
        <w:t>فلما طال الكلام وذكر المفعولين معًا، وأخر الفعل مع أنه عامل- حكم سيبويه على ذلك بالضعف، كما يضعف "زيدًا قائمًا ضربت"، لماذا؟</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قال سيبويه: لأن الحد أن يكون الفعل مبتدأ إذا عمل.</w:t>
      </w:r>
    </w:p>
    <w:p w:rsidR="007F464F" w:rsidRPr="00735D0C" w:rsidRDefault="007F464F" w:rsidP="007F464F">
      <w:pPr>
        <w:pStyle w:val="Abstract"/>
        <w:bidi/>
        <w:spacing w:after="0" w:line="240" w:lineRule="exact"/>
        <w:ind w:firstLine="173"/>
        <w:rPr>
          <w:rtl/>
          <w:lang w:eastAsia="en-US"/>
        </w:rPr>
      </w:pPr>
      <w:r w:rsidRPr="00735D0C">
        <w:rPr>
          <w:rFonts w:hint="cs"/>
          <w:rtl/>
          <w:lang w:eastAsia="en-US"/>
        </w:rPr>
        <w:t>ما معنى الحد في مثل هذا الأسلوب؟</w:t>
      </w:r>
    </w:p>
    <w:p w:rsidR="007F464F" w:rsidRPr="00735D0C" w:rsidRDefault="007F464F" w:rsidP="007F464F">
      <w:pPr>
        <w:pStyle w:val="Abstract"/>
        <w:bidi/>
        <w:spacing w:after="0" w:line="240" w:lineRule="exact"/>
        <w:ind w:firstLine="173"/>
        <w:rPr>
          <w:rtl/>
          <w:lang w:eastAsia="en-US"/>
        </w:rPr>
      </w:pPr>
      <w:r w:rsidRPr="00735D0C">
        <w:rPr>
          <w:rFonts w:hint="cs"/>
          <w:rtl/>
          <w:lang w:eastAsia="en-US"/>
        </w:rPr>
        <w:t>الحد يأتي في اللغة: بمعنى الشرط، والحد: يأتي بمعنى الفاصل، والحد: يأتي بمعنى الجزاء والعقوبة، ((ادرءوا الحدود بالشبهات))، والحد: يأتي بمعنى التعريف، هناك الحدود في كتب النحو.</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أما الحد هنا: فمعناه أن الأصل الأصيل في التعبير أن يكون الفعل حالة إعماله متصدرًا الكلام، يعني يأتي مبتدأ إذا عمل.</w:t>
      </w:r>
    </w:p>
    <w:p w:rsidR="007F464F" w:rsidRPr="00735D0C" w:rsidRDefault="007F464F" w:rsidP="00735D0C">
      <w:pPr>
        <w:pStyle w:val="Abstract"/>
        <w:bidi/>
        <w:spacing w:after="0" w:line="240" w:lineRule="exact"/>
        <w:ind w:firstLine="173"/>
        <w:rPr>
          <w:lang w:eastAsia="en-US"/>
        </w:rPr>
      </w:pPr>
      <w:r w:rsidRPr="00735D0C">
        <w:rPr>
          <w:rFonts w:hint="cs"/>
          <w:rtl/>
          <w:lang w:eastAsia="en-US"/>
        </w:rPr>
        <w:t xml:space="preserve">ولا تفهمنَّ أن قول سيبويه: أن يكون الفعل مبتدأً أن الفعل مما يصلح أن يأتي مبتدأً في باب الابتداء، اسم صريح أو مؤول بالصريح، هذا الاسم العاري عن العوامل اللفظية الذي تبنى عليه الجملة، إما أن يكون اسمًا صريحًا: "محمد نبينا"، وإما أن يكون مؤولًا بالصريح: </w:t>
      </w:r>
      <w:r w:rsidR="00735D0C" w:rsidRPr="00735D0C">
        <w:rPr>
          <w:rFonts w:ascii="Tahoma" w:hAnsi="Tahoma" w:cs="DecoType Thuluth" w:hint="cs"/>
          <w:rtl/>
        </w:rPr>
        <w:t>{</w:t>
      </w:r>
      <w:r w:rsidR="00735D0C" w:rsidRPr="00735D0C">
        <w:rPr>
          <w:rFonts w:ascii="QCF_P028" w:hAnsi="QCF_P028" w:cs="QCF_P028"/>
          <w:rtl/>
        </w:rPr>
        <w:t>ﮏ ﮐ ﮑ ﮒ</w:t>
      </w:r>
      <w:r w:rsidR="00735D0C" w:rsidRPr="00735D0C">
        <w:rPr>
          <w:rFonts w:ascii="Tahoma" w:hAnsi="Tahoma" w:cs="DecoType Thuluth" w:hint="cs"/>
          <w:rtl/>
        </w:rPr>
        <w:t>}</w:t>
      </w:r>
      <w:r w:rsidRPr="00735D0C">
        <w:rPr>
          <w:rFonts w:hint="cs"/>
          <w:rtl/>
          <w:lang w:eastAsia="en-US"/>
        </w:rPr>
        <w:t xml:space="preserve"> [البقرة: 184</w:t>
      </w:r>
      <w:r w:rsidRPr="00735D0C">
        <w:rPr>
          <w:rtl/>
          <w:lang w:eastAsia="en-US"/>
        </w:rPr>
        <w:t>]</w:t>
      </w:r>
      <w:r w:rsidRPr="00735D0C">
        <w:rPr>
          <w:rFonts w:hint="cs"/>
          <w:rtl/>
          <w:lang w:eastAsia="en-US"/>
        </w:rPr>
        <w:t xml:space="preserve"> أي: صيامكم خير لكم، وإما أن يكون وصفًا على رأي أهل البصرة معتمدًا على نفي كما تقول: </w:t>
      </w:r>
    </w:p>
    <w:tbl>
      <w:tblPr>
        <w:bidiVisual/>
        <w:tblW w:w="5377" w:type="dxa"/>
        <w:jc w:val="center"/>
        <w:tblLayout w:type="fixed"/>
        <w:tblLook w:val="01E0"/>
      </w:tblPr>
      <w:tblGrid>
        <w:gridCol w:w="2448"/>
        <w:gridCol w:w="360"/>
        <w:gridCol w:w="2569"/>
      </w:tblGrid>
      <w:tr w:rsidR="007F464F" w:rsidRPr="00735D0C" w:rsidTr="007F464F">
        <w:trPr>
          <w:trHeight w:hRule="exact" w:val="297"/>
          <w:jc w:val="center"/>
        </w:trPr>
        <w:tc>
          <w:tcPr>
            <w:tcW w:w="2448" w:type="dxa"/>
            <w:vAlign w:val="center"/>
          </w:tcPr>
          <w:p w:rsidR="007F464F" w:rsidRPr="00735D0C" w:rsidRDefault="007F464F" w:rsidP="007F464F">
            <w:pPr>
              <w:pStyle w:val="Abstract"/>
              <w:bidi/>
              <w:spacing w:after="0" w:line="240" w:lineRule="exact"/>
              <w:ind w:firstLine="173"/>
              <w:jc w:val="left"/>
              <w:rPr>
                <w:lang w:eastAsia="en-US"/>
              </w:rPr>
            </w:pPr>
            <w:r w:rsidRPr="00735D0C">
              <w:rPr>
                <w:rFonts w:hint="cs"/>
                <w:rtl/>
                <w:lang w:eastAsia="en-US"/>
              </w:rPr>
              <w:t>خليلي ما وافٍ بعهدي أنتما</w:t>
            </w:r>
            <w:r w:rsidRPr="00735D0C">
              <w:rPr>
                <w:rtl/>
                <w:lang w:eastAsia="en-US"/>
              </w:rPr>
              <w:br/>
            </w:r>
          </w:p>
        </w:tc>
        <w:tc>
          <w:tcPr>
            <w:tcW w:w="360" w:type="dxa"/>
            <w:vAlign w:val="center"/>
          </w:tcPr>
          <w:p w:rsidR="007F464F" w:rsidRPr="00735D0C" w:rsidRDefault="007F464F" w:rsidP="007F464F">
            <w:pPr>
              <w:pStyle w:val="Abstract"/>
              <w:bidi/>
              <w:spacing w:after="0" w:line="240" w:lineRule="exact"/>
              <w:ind w:firstLine="173"/>
              <w:rPr>
                <w:rtl/>
                <w:lang w:eastAsia="en-US"/>
              </w:rPr>
            </w:pPr>
            <w:r w:rsidRPr="00735D0C">
              <w:rPr>
                <w:rFonts w:hint="cs"/>
                <w:rtl/>
                <w:lang w:eastAsia="en-US"/>
              </w:rPr>
              <w:t>*</w:t>
            </w:r>
          </w:p>
        </w:tc>
        <w:tc>
          <w:tcPr>
            <w:tcW w:w="2569" w:type="dxa"/>
            <w:vAlign w:val="center"/>
          </w:tcPr>
          <w:p w:rsidR="007F464F" w:rsidRPr="00735D0C" w:rsidRDefault="007F464F" w:rsidP="007F464F">
            <w:pPr>
              <w:pStyle w:val="Abstract"/>
              <w:bidi/>
              <w:spacing w:after="0" w:line="240" w:lineRule="exact"/>
              <w:ind w:firstLine="173"/>
              <w:jc w:val="left"/>
              <w:rPr>
                <w:lang w:eastAsia="en-US"/>
              </w:rPr>
            </w:pPr>
            <w:r w:rsidRPr="00735D0C">
              <w:rPr>
                <w:rFonts w:hint="cs"/>
                <w:rtl/>
                <w:lang w:eastAsia="en-US"/>
              </w:rPr>
              <w:t>إذا لم تكونا لي على من أقاطع</w:t>
            </w:r>
            <w:r w:rsidRPr="00735D0C">
              <w:rPr>
                <w:rtl/>
                <w:lang w:eastAsia="en-US"/>
              </w:rPr>
              <w:br/>
            </w:r>
          </w:p>
        </w:tc>
      </w:tr>
    </w:tbl>
    <w:p w:rsidR="007F464F" w:rsidRPr="00735D0C" w:rsidRDefault="007F464F" w:rsidP="007F464F">
      <w:pPr>
        <w:pStyle w:val="Abstract"/>
        <w:bidi/>
        <w:spacing w:after="0" w:line="240" w:lineRule="exact"/>
        <w:ind w:firstLine="173"/>
        <w:rPr>
          <w:lang w:eastAsia="en-US"/>
        </w:rPr>
      </w:pPr>
      <w:r w:rsidRPr="00735D0C">
        <w:rPr>
          <w:rFonts w:hint="cs"/>
          <w:rtl/>
          <w:lang w:eastAsia="en-US"/>
        </w:rPr>
        <w:t>أو استفهام:</w:t>
      </w:r>
    </w:p>
    <w:tbl>
      <w:tblPr>
        <w:bidiVisual/>
        <w:tblW w:w="5512" w:type="dxa"/>
        <w:jc w:val="center"/>
        <w:tblLook w:val="01E0"/>
      </w:tblPr>
      <w:tblGrid>
        <w:gridCol w:w="2181"/>
        <w:gridCol w:w="725"/>
        <w:gridCol w:w="2606"/>
      </w:tblGrid>
      <w:tr w:rsidR="007F464F" w:rsidRPr="00735D0C" w:rsidTr="007F464F">
        <w:trPr>
          <w:trHeight w:hRule="exact" w:val="270"/>
          <w:jc w:val="center"/>
        </w:trPr>
        <w:tc>
          <w:tcPr>
            <w:tcW w:w="2181" w:type="dxa"/>
            <w:vAlign w:val="center"/>
          </w:tcPr>
          <w:p w:rsidR="007F464F" w:rsidRPr="00735D0C" w:rsidRDefault="007F464F" w:rsidP="007F464F">
            <w:pPr>
              <w:pStyle w:val="Abstract"/>
              <w:bidi/>
              <w:spacing w:after="0" w:line="240" w:lineRule="exact"/>
              <w:ind w:firstLine="173"/>
              <w:jc w:val="left"/>
              <w:rPr>
                <w:lang w:eastAsia="en-US"/>
              </w:rPr>
            </w:pPr>
            <w:r w:rsidRPr="00735D0C">
              <w:rPr>
                <w:rFonts w:hint="cs"/>
                <w:rtl/>
                <w:lang w:eastAsia="en-US"/>
              </w:rPr>
              <w:t>أقاطنٌ قومُ سلمى أم نووا ظعنًا</w:t>
            </w:r>
            <w:r w:rsidRPr="00735D0C">
              <w:rPr>
                <w:rtl/>
                <w:lang w:eastAsia="en-US"/>
              </w:rPr>
              <w:br/>
            </w:r>
          </w:p>
        </w:tc>
        <w:tc>
          <w:tcPr>
            <w:tcW w:w="725" w:type="dxa"/>
            <w:vAlign w:val="center"/>
          </w:tcPr>
          <w:p w:rsidR="007F464F" w:rsidRPr="00735D0C" w:rsidRDefault="007F464F" w:rsidP="007F464F">
            <w:pPr>
              <w:pStyle w:val="Abstract"/>
              <w:bidi/>
              <w:spacing w:after="0" w:line="240" w:lineRule="exact"/>
              <w:ind w:firstLine="173"/>
              <w:rPr>
                <w:rtl/>
                <w:lang w:eastAsia="en-US"/>
              </w:rPr>
            </w:pPr>
            <w:r w:rsidRPr="00735D0C">
              <w:rPr>
                <w:rFonts w:hint="cs"/>
                <w:rtl/>
                <w:lang w:eastAsia="en-US"/>
              </w:rPr>
              <w:t>*</w:t>
            </w:r>
          </w:p>
        </w:tc>
        <w:tc>
          <w:tcPr>
            <w:tcW w:w="2606" w:type="dxa"/>
            <w:vAlign w:val="center"/>
          </w:tcPr>
          <w:p w:rsidR="007F464F" w:rsidRPr="00735D0C" w:rsidRDefault="007F464F" w:rsidP="007F464F">
            <w:pPr>
              <w:pStyle w:val="Abstract"/>
              <w:bidi/>
              <w:spacing w:after="0" w:line="240" w:lineRule="exact"/>
              <w:ind w:firstLine="173"/>
              <w:jc w:val="left"/>
              <w:rPr>
                <w:lang w:eastAsia="en-US"/>
              </w:rPr>
            </w:pPr>
            <w:r w:rsidRPr="00735D0C">
              <w:rPr>
                <w:rFonts w:hint="cs"/>
                <w:rtl/>
                <w:lang w:eastAsia="en-US"/>
              </w:rPr>
              <w:t>إن يظعنوا فعجيب عيش من قطنا</w:t>
            </w:r>
            <w:r w:rsidRPr="00735D0C">
              <w:rPr>
                <w:rtl/>
                <w:lang w:eastAsia="en-US"/>
              </w:rPr>
              <w:br/>
            </w:r>
          </w:p>
        </w:tc>
      </w:tr>
    </w:tbl>
    <w:p w:rsidR="007F464F" w:rsidRPr="00735D0C" w:rsidRDefault="007F464F" w:rsidP="007F464F">
      <w:pPr>
        <w:pStyle w:val="Abstract"/>
        <w:bidi/>
        <w:spacing w:after="0" w:line="240" w:lineRule="exact"/>
        <w:ind w:firstLine="173"/>
        <w:rPr>
          <w:lang w:eastAsia="en-US"/>
        </w:rPr>
      </w:pPr>
      <w:r w:rsidRPr="00735D0C">
        <w:rPr>
          <w:rFonts w:hint="cs"/>
          <w:rtl/>
          <w:lang w:eastAsia="en-US"/>
        </w:rPr>
        <w:t>فأنت في هذا ترى أن الشاعر قال: "أقاطن" جاء الوصف قاطنٌ معتمدًا على استفهام، وإذا استطردت عرفت أن الكوفيين لم يشترطوا ذلك، ووافقهم الأخفش من البصريين، وكان دليلهم على ذلك قول الشاعر وهو من الطويل:</w:t>
      </w:r>
    </w:p>
    <w:tbl>
      <w:tblPr>
        <w:bidiVisual/>
        <w:tblW w:w="0" w:type="auto"/>
        <w:jc w:val="center"/>
        <w:tblLook w:val="01E0"/>
      </w:tblPr>
      <w:tblGrid>
        <w:gridCol w:w="2340"/>
        <w:gridCol w:w="607"/>
        <w:gridCol w:w="2305"/>
      </w:tblGrid>
      <w:tr w:rsidR="007F464F" w:rsidRPr="00735D0C" w:rsidTr="007F464F">
        <w:trPr>
          <w:trHeight w:hRule="exact" w:val="207"/>
          <w:jc w:val="center"/>
        </w:trPr>
        <w:tc>
          <w:tcPr>
            <w:tcW w:w="2909" w:type="dxa"/>
            <w:vAlign w:val="center"/>
          </w:tcPr>
          <w:p w:rsidR="007F464F" w:rsidRPr="00735D0C" w:rsidRDefault="007F464F" w:rsidP="007F464F">
            <w:pPr>
              <w:pStyle w:val="Abstract"/>
              <w:bidi/>
              <w:spacing w:after="0" w:line="240" w:lineRule="exact"/>
              <w:ind w:firstLine="173"/>
              <w:rPr>
                <w:lang w:eastAsia="en-US"/>
              </w:rPr>
            </w:pPr>
            <w:r w:rsidRPr="00735D0C">
              <w:rPr>
                <w:rFonts w:hint="cs"/>
                <w:rtl/>
                <w:lang w:eastAsia="en-US"/>
              </w:rPr>
              <w:t>خبيرٌ بَنُو لِهبٍ فلا تكُ مُلغيًا</w:t>
            </w:r>
            <w:r w:rsidRPr="00735D0C">
              <w:rPr>
                <w:rtl/>
                <w:lang w:eastAsia="en-US"/>
              </w:rPr>
              <w:br/>
            </w:r>
          </w:p>
        </w:tc>
        <w:tc>
          <w:tcPr>
            <w:tcW w:w="709" w:type="dxa"/>
            <w:vAlign w:val="center"/>
          </w:tcPr>
          <w:p w:rsidR="007F464F" w:rsidRPr="00735D0C" w:rsidRDefault="007F464F" w:rsidP="007F464F">
            <w:pPr>
              <w:pStyle w:val="Abstract"/>
              <w:bidi/>
              <w:spacing w:after="0" w:line="240" w:lineRule="exact"/>
              <w:ind w:firstLine="173"/>
              <w:rPr>
                <w:rtl/>
                <w:lang w:eastAsia="en-US"/>
              </w:rPr>
            </w:pPr>
            <w:r w:rsidRPr="00735D0C">
              <w:rPr>
                <w:rFonts w:hint="cs"/>
                <w:rtl/>
                <w:lang w:eastAsia="en-US"/>
              </w:rPr>
              <w:t>*</w:t>
            </w:r>
          </w:p>
        </w:tc>
        <w:tc>
          <w:tcPr>
            <w:tcW w:w="2909" w:type="dxa"/>
            <w:vAlign w:val="center"/>
          </w:tcPr>
          <w:p w:rsidR="007F464F" w:rsidRPr="00735D0C" w:rsidRDefault="007F464F" w:rsidP="007F464F">
            <w:pPr>
              <w:pStyle w:val="Abstract"/>
              <w:bidi/>
              <w:spacing w:after="0" w:line="240" w:lineRule="exact"/>
              <w:ind w:firstLine="173"/>
              <w:rPr>
                <w:lang w:eastAsia="en-US"/>
              </w:rPr>
            </w:pPr>
            <w:r w:rsidRPr="00735D0C">
              <w:rPr>
                <w:rFonts w:hint="cs"/>
                <w:rtl/>
                <w:lang w:eastAsia="en-US"/>
              </w:rPr>
              <w:t>مقالةَ لهبيٍّ إذا الطير مرت</w:t>
            </w:r>
            <w:r w:rsidRPr="00735D0C">
              <w:rPr>
                <w:rtl/>
                <w:lang w:eastAsia="en-US"/>
              </w:rPr>
              <w:br/>
            </w:r>
          </w:p>
        </w:tc>
      </w:tr>
    </w:tbl>
    <w:p w:rsidR="007F464F" w:rsidRPr="00735D0C" w:rsidRDefault="007F464F" w:rsidP="00735D0C">
      <w:pPr>
        <w:pStyle w:val="Abstract"/>
        <w:bidi/>
        <w:spacing w:after="0" w:line="240" w:lineRule="exact"/>
        <w:ind w:firstLine="173"/>
        <w:rPr>
          <w:lang w:eastAsia="en-US"/>
        </w:rPr>
      </w:pPr>
      <w:r w:rsidRPr="00735D0C">
        <w:rPr>
          <w:rFonts w:hint="cs"/>
          <w:rtl/>
          <w:lang w:eastAsia="en-US"/>
        </w:rPr>
        <w:t xml:space="preserve">وخرجه أهل البصرة على أن "خبير" لم يعتمد؛ لأنه فعيل: من الخبر المقدم الذي يصلح أن يكون للمفرد، وأن يكون لغير المفرد، وجاءوا بصنوه وجذره وأصله حيث قالوا: قول الله تعالى: </w:t>
      </w:r>
      <w:r w:rsidR="00735D0C" w:rsidRPr="00735D0C">
        <w:rPr>
          <w:rFonts w:ascii="Tahoma" w:hAnsi="Tahoma" w:cs="DecoType Thuluth" w:hint="cs"/>
          <w:rtl/>
        </w:rPr>
        <w:t>{</w:t>
      </w:r>
      <w:r w:rsidR="00735D0C" w:rsidRPr="00735D0C">
        <w:rPr>
          <w:rFonts w:ascii="QCF_P560" w:hAnsi="QCF_P560" w:cs="QCF_P560"/>
          <w:rtl/>
        </w:rPr>
        <w:t>ﮣ ﮤ ﮥ ﮦ</w:t>
      </w:r>
      <w:r w:rsidR="00735D0C" w:rsidRPr="00735D0C">
        <w:rPr>
          <w:rFonts w:ascii="QCF_P560" w:hAnsi="QCF_P560" w:cs="DecoType Thuluth"/>
          <w:rtl/>
        </w:rPr>
        <w:t>}</w:t>
      </w:r>
      <w:r w:rsidRPr="00735D0C">
        <w:rPr>
          <w:rFonts w:hint="cs"/>
          <w:rtl/>
          <w:lang w:eastAsia="en-US"/>
        </w:rPr>
        <w:t xml:space="preserve"> [التحريم: 4</w:t>
      </w:r>
      <w:r w:rsidRPr="00735D0C">
        <w:rPr>
          <w:rtl/>
          <w:lang w:eastAsia="en-US"/>
        </w:rPr>
        <w:t>]</w:t>
      </w:r>
      <w:r w:rsidRPr="00735D0C">
        <w:rPr>
          <w:rFonts w:hint="cs"/>
          <w:rtl/>
          <w:lang w:eastAsia="en-US"/>
        </w:rPr>
        <w:t xml:space="preserve"> فقال: "ظهير" على وزن فعيل مع الملائكة، وهو جمع كما ترى؛ لأن هذا البناء من الأبنية الصالحة للمفرد وغيره، كذلك سيبويه حين يقول؛ لأن الحد: أن يكون الفعل مبتدأ إذا عمل، لا يعني به أن الفعل يمكن أن يكون مبتدأ، فتتسرع فتقول: معنى ذلك أن كلمة أظن في عبارة سيبويه مبتدأ مرفوع وعلامة رفعه الضمة، هذا إفساد للغة.</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 xml:space="preserve">وإنما مبتدأ به، يعني: يبتدئ به المتكلِّم كلامَه إذا أعمله، هذا هو الأصل؛ ولذلك يستطرد سيبويه في الإعمال، فيذكر قولَ أبي ذؤيب الهذلي، وهو كما ترى: </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فإن تز/ -من الطويل- عُميني كُنْ/ تُ أجه/ لُ فيكُمُ/ فإني- فعولُن-/ شريت الحل- مفاعلن-/ مَ بعدَ/ -فعولُ-مقبوضة- / كِ بالجهل/ مفاعِلن.</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 xml:space="preserve">ومن يقرأ النسخة مثلنا يجد أن هذا المذكور في السطر الثاني من الصفحة الحادية والعشرين بعد المائة الأولى فيه خطأ جسيم؛ لأنه سوف يقرأه: فإن تزعميني كنت أجل فيكم. </w:t>
      </w:r>
    </w:p>
    <w:p w:rsidR="007F464F" w:rsidRPr="00735D0C" w:rsidRDefault="007F464F" w:rsidP="007F464F">
      <w:pPr>
        <w:pStyle w:val="Abstract"/>
        <w:bidi/>
        <w:spacing w:after="0" w:line="240" w:lineRule="exact"/>
        <w:ind w:firstLine="173"/>
        <w:rPr>
          <w:rtl/>
          <w:lang w:eastAsia="en-US"/>
        </w:rPr>
      </w:pPr>
      <w:r w:rsidRPr="00735D0C">
        <w:rPr>
          <w:rFonts w:hint="cs"/>
          <w:rtl/>
          <w:lang w:eastAsia="en-US"/>
        </w:rPr>
        <w:lastRenderedPageBreak/>
        <w:t>ولعل بعض الناس يقول: كنت أجلُّ، ويفسرها تفسير معنى، وهو لا علم له بالعَروض، والكتابة كما تراها في نسخة هارون جميل، ولكن الكمال لله وحده، والخطأ الطباعي وارد في كل عمل، وإن راجعه المراجعون، واجتمع حوله المصححون:</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"فإن تزعميني كنت أجلُّ" كيف؟! من ثمَّ أقول: انتبهوا إلى أن للعروض فوائدَ جمة في ضبط النص، واكتشاف ما به من خطأ سوف تجدون في شرح (كافية ابن الحاجب) أنه مضارع وهي مضاعة، والذي لا يدرس العروض لا يعرف أن هناك لحنًا، أو أن هناك خطًا وقد يلتبس عليه الأمر، وقد يظن أن كلمة مضارع لا بأس بها، وأنها من ضارع يضارع مضارعة، وأن حلمه لم يضارعه حلم آخر، ويفتي بجهل؛ لأنه جهِلَ العروض.</w:t>
      </w:r>
    </w:p>
    <w:p w:rsidR="007F464F" w:rsidRPr="00735D0C" w:rsidRDefault="007F464F" w:rsidP="007F464F">
      <w:pPr>
        <w:pStyle w:val="Abstract"/>
        <w:bidi/>
        <w:spacing w:after="0" w:line="240" w:lineRule="exact"/>
        <w:ind w:firstLine="173"/>
        <w:rPr>
          <w:rtl/>
          <w:lang w:eastAsia="en-US"/>
        </w:rPr>
      </w:pPr>
      <w:r w:rsidRPr="00735D0C">
        <w:rPr>
          <w:rFonts w:hint="cs"/>
          <w:rtl/>
          <w:lang w:eastAsia="en-US"/>
        </w:rPr>
        <w:t>فإذا ما استقام على أوزان الخليل أبي العذرة عرَف أن للعروض فوائد:</w:t>
      </w:r>
    </w:p>
    <w:p w:rsidR="007F464F" w:rsidRPr="00735D0C" w:rsidRDefault="007F464F" w:rsidP="007F464F">
      <w:pPr>
        <w:pStyle w:val="Abstract"/>
        <w:bidi/>
        <w:spacing w:after="0" w:line="240" w:lineRule="exact"/>
        <w:ind w:firstLine="173"/>
        <w:rPr>
          <w:rtl/>
          <w:lang w:eastAsia="en-US"/>
        </w:rPr>
      </w:pPr>
      <w:r w:rsidRPr="00735D0C">
        <w:rPr>
          <w:rFonts w:hint="cs"/>
          <w:rtl/>
          <w:lang w:eastAsia="en-US"/>
        </w:rPr>
        <w:t>فإن تزُ -بهدوء سيقرؤه ويقطعه هكذا -/ عميني كن/ ت أجلُ/ هذا لا يمكن أن يكون وزنًا ولا يمكن أن يكون تفعيلة. إذن، ماذا تكون؟</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فإن تزعميني كنت أجهل فيكم. يعني: كنت أدعي الجهل، وفيكم "في" كما تعلمون ظرفية في زمانكم، في أيامكم، في مدة إقامتي فيكم، تزعميني كنت أجهل فيكمُ أيام الصبابة، وأيام العشق والهوى، فإني شريت الحلم بعدك بالجهل.</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قال الشراح لهذا البيت: فإني قد أتاني المشيب من بعد الصبا، وكأن المشيب قد حمل إلى رأسي من فوقها شعرًا أبيضًا، لكنه دس في عقلي الحلم، وكأني صرت عاقلًا من بعد جنون، وصرت حليمًا مجتهدًا مفكرًا من بعد جهل وتخبط.</w:t>
      </w:r>
    </w:p>
    <w:p w:rsidR="007F464F" w:rsidRPr="00735D0C" w:rsidRDefault="007F464F" w:rsidP="007F464F">
      <w:pPr>
        <w:pStyle w:val="Abstract"/>
        <w:bidi/>
        <w:spacing w:after="0" w:line="240" w:lineRule="exact"/>
        <w:ind w:firstLine="173"/>
        <w:rPr>
          <w:rtl/>
          <w:lang w:eastAsia="en-US"/>
        </w:rPr>
      </w:pPr>
      <w:r w:rsidRPr="00735D0C">
        <w:rPr>
          <w:rFonts w:hint="cs"/>
          <w:rtl/>
          <w:lang w:eastAsia="en-US"/>
        </w:rPr>
        <w:t>ذكره سيبويه شاهدًا -من الطويل من قول أبي ذؤيب الهذلي- على الإعمال: فإن تزعميني كنت أجهل فيكمو.</w:t>
      </w:r>
    </w:p>
    <w:p w:rsidR="007F464F" w:rsidRPr="00735D0C" w:rsidRDefault="007F464F" w:rsidP="007F464F">
      <w:pPr>
        <w:pStyle w:val="Abstract"/>
        <w:bidi/>
        <w:spacing w:after="0" w:line="240" w:lineRule="exact"/>
        <w:ind w:firstLine="173"/>
        <w:rPr>
          <w:rtl/>
          <w:lang w:eastAsia="en-US"/>
        </w:rPr>
      </w:pPr>
      <w:r w:rsidRPr="00735D0C">
        <w:rPr>
          <w:rFonts w:hint="cs"/>
          <w:rtl/>
          <w:lang w:eastAsia="en-US"/>
        </w:rPr>
        <w:t>وعلى شيء آخر ذكره سيبويه، وهو أن الفعل حال الإعمال يكون مبتدأً؛ أي يكون مبتدأ به أي يبدأ به؛ لأنه عامل.</w:t>
      </w:r>
    </w:p>
    <w:p w:rsidR="007F464F" w:rsidRPr="00735D0C" w:rsidRDefault="007F464F" w:rsidP="007F464F">
      <w:pPr>
        <w:pStyle w:val="Abstract"/>
        <w:bidi/>
        <w:spacing w:after="0" w:line="240" w:lineRule="exact"/>
        <w:ind w:firstLine="173"/>
        <w:rPr>
          <w:rtl/>
          <w:lang w:eastAsia="en-US"/>
        </w:rPr>
      </w:pPr>
      <w:r w:rsidRPr="00735D0C">
        <w:rPr>
          <w:rFonts w:hint="cs"/>
          <w:rtl/>
          <w:lang w:eastAsia="en-US"/>
        </w:rPr>
        <w:t>وقد سبق أن ذكرنا أن العامل ينبغي أن يكون له الصدارة.</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 xml:space="preserve">ومما ذكره سيبويه من الشواهد قول النابغة الجعدي: </w:t>
      </w:r>
    </w:p>
    <w:tbl>
      <w:tblPr>
        <w:bidiVisual/>
        <w:tblW w:w="0" w:type="auto"/>
        <w:jc w:val="center"/>
        <w:tblLook w:val="01E0"/>
      </w:tblPr>
      <w:tblGrid>
        <w:gridCol w:w="1994"/>
        <w:gridCol w:w="612"/>
        <w:gridCol w:w="1736"/>
      </w:tblGrid>
      <w:tr w:rsidR="007F464F" w:rsidRPr="00735D0C" w:rsidTr="007F464F">
        <w:trPr>
          <w:trHeight w:hRule="exact" w:val="510"/>
          <w:jc w:val="center"/>
        </w:trPr>
        <w:tc>
          <w:tcPr>
            <w:tcW w:w="1994" w:type="dxa"/>
            <w:vAlign w:val="center"/>
          </w:tcPr>
          <w:p w:rsidR="007F464F" w:rsidRPr="00735D0C" w:rsidRDefault="007F464F" w:rsidP="007F464F">
            <w:pPr>
              <w:pStyle w:val="Abstract"/>
              <w:bidi/>
              <w:spacing w:after="0" w:line="240" w:lineRule="exact"/>
              <w:ind w:firstLine="173"/>
              <w:rPr>
                <w:lang w:eastAsia="en-US"/>
              </w:rPr>
            </w:pPr>
            <w:r w:rsidRPr="00735D0C">
              <w:rPr>
                <w:rFonts w:hint="cs"/>
                <w:rtl/>
                <w:lang w:eastAsia="en-US"/>
              </w:rPr>
              <w:t>عددت قُشيرًا إذ عددتُ</w:t>
            </w:r>
            <w:r w:rsidRPr="00735D0C">
              <w:rPr>
                <w:rtl/>
                <w:lang w:eastAsia="en-US"/>
              </w:rPr>
              <w:br/>
            </w:r>
          </w:p>
        </w:tc>
        <w:tc>
          <w:tcPr>
            <w:tcW w:w="612" w:type="dxa"/>
            <w:vAlign w:val="center"/>
          </w:tcPr>
          <w:p w:rsidR="007F464F" w:rsidRPr="00735D0C" w:rsidRDefault="007F464F" w:rsidP="007F464F">
            <w:pPr>
              <w:pStyle w:val="Abstract"/>
              <w:bidi/>
              <w:spacing w:after="0" w:line="240" w:lineRule="exact"/>
              <w:ind w:firstLine="173"/>
              <w:rPr>
                <w:rtl/>
                <w:lang w:eastAsia="en-US"/>
              </w:rPr>
            </w:pPr>
            <w:r w:rsidRPr="00735D0C">
              <w:rPr>
                <w:rFonts w:hint="cs"/>
                <w:rtl/>
                <w:lang w:eastAsia="en-US"/>
              </w:rPr>
              <w:t>*</w:t>
            </w:r>
          </w:p>
        </w:tc>
        <w:tc>
          <w:tcPr>
            <w:tcW w:w="1736" w:type="dxa"/>
            <w:vAlign w:val="center"/>
          </w:tcPr>
          <w:p w:rsidR="007F464F" w:rsidRPr="00735D0C" w:rsidRDefault="007F464F" w:rsidP="007F464F">
            <w:pPr>
              <w:pStyle w:val="Abstract"/>
              <w:bidi/>
              <w:spacing w:after="0" w:line="240" w:lineRule="exact"/>
              <w:ind w:firstLine="173"/>
              <w:rPr>
                <w:rtl/>
                <w:lang w:eastAsia="en-US"/>
              </w:rPr>
            </w:pPr>
            <w:r w:rsidRPr="00735D0C">
              <w:rPr>
                <w:rFonts w:hint="cs"/>
                <w:rtl/>
                <w:lang w:eastAsia="en-US"/>
              </w:rPr>
              <w:t>.... .... .... ....</w:t>
            </w:r>
            <w:r w:rsidRPr="00735D0C">
              <w:rPr>
                <w:rFonts w:hint="cs"/>
                <w:rtl/>
                <w:lang w:eastAsia="en-US"/>
              </w:rPr>
              <w:br/>
            </w:r>
          </w:p>
        </w:tc>
      </w:tr>
    </w:tbl>
    <w:p w:rsidR="007F464F" w:rsidRPr="00735D0C" w:rsidRDefault="007F464F" w:rsidP="00735D0C">
      <w:pPr>
        <w:pStyle w:val="Abstract"/>
        <w:bidi/>
        <w:spacing w:after="0" w:line="240" w:lineRule="exact"/>
        <w:ind w:firstLine="173"/>
        <w:rPr>
          <w:lang w:eastAsia="en-US"/>
        </w:rPr>
      </w:pPr>
      <w:r w:rsidRPr="00735D0C">
        <w:rPr>
          <w:rFonts w:hint="cs"/>
          <w:rtl/>
          <w:lang w:eastAsia="en-US"/>
        </w:rPr>
        <w:t xml:space="preserve">وما هكذا يقرأ البيت! وإنما الذي يدلك على أن التاء مفتوحة قوله بعد ذلك: "فلمْ أُسَأ"، هو لا يُعد شيئًا ثم يقول: "أنا أعده" من </w:t>
      </w:r>
      <w:r w:rsidR="00735D0C" w:rsidRPr="00735D0C">
        <w:rPr>
          <w:rFonts w:ascii="Tahoma" w:hAnsi="Tahoma" w:cs="DecoType Thuluth" w:hint="cs"/>
          <w:rtl/>
        </w:rPr>
        <w:t>{</w:t>
      </w:r>
      <w:r w:rsidR="00735D0C" w:rsidRPr="00735D0C">
        <w:rPr>
          <w:rFonts w:ascii="QCF_P601" w:hAnsi="QCF_P601" w:cs="QCF_P601"/>
          <w:rtl/>
        </w:rPr>
        <w:t>ﭨ ﭩ ﭪ</w:t>
      </w:r>
      <w:r w:rsidR="00735D0C" w:rsidRPr="00735D0C">
        <w:rPr>
          <w:rFonts w:ascii="QCF_P601" w:hAnsi="QCF_P601" w:cs="DecoType Thuluth"/>
          <w:rtl/>
        </w:rPr>
        <w:t>}</w:t>
      </w:r>
      <w:r w:rsidRPr="00735D0C">
        <w:rPr>
          <w:rFonts w:hint="cs"/>
          <w:rtl/>
          <w:lang w:eastAsia="en-US"/>
        </w:rPr>
        <w:t xml:space="preserve"> [الهمزة: 2</w:t>
      </w:r>
      <w:r w:rsidRPr="00735D0C">
        <w:rPr>
          <w:rtl/>
          <w:lang w:eastAsia="en-US"/>
        </w:rPr>
        <w:t>]</w:t>
      </w:r>
      <w:r w:rsidRPr="00735D0C">
        <w:rPr>
          <w:rFonts w:hint="cs"/>
          <w:rtl/>
          <w:lang w:eastAsia="en-US"/>
        </w:rPr>
        <w:t xml:space="preserve"> وإنما يخاطب رجلًا كأنه يغيظه، فيقول:</w:t>
      </w:r>
    </w:p>
    <w:tbl>
      <w:tblPr>
        <w:bidiVisual/>
        <w:tblW w:w="0" w:type="auto"/>
        <w:jc w:val="center"/>
        <w:tblLook w:val="01E0"/>
      </w:tblPr>
      <w:tblGrid>
        <w:gridCol w:w="2316"/>
        <w:gridCol w:w="608"/>
        <w:gridCol w:w="2328"/>
      </w:tblGrid>
      <w:tr w:rsidR="007F464F" w:rsidRPr="00735D0C" w:rsidTr="007F464F">
        <w:trPr>
          <w:trHeight w:hRule="exact" w:val="270"/>
          <w:jc w:val="center"/>
        </w:trPr>
        <w:tc>
          <w:tcPr>
            <w:tcW w:w="2909" w:type="dxa"/>
            <w:vAlign w:val="center"/>
          </w:tcPr>
          <w:p w:rsidR="007F464F" w:rsidRPr="00735D0C" w:rsidRDefault="007F464F" w:rsidP="007F464F">
            <w:pPr>
              <w:pStyle w:val="Abstract"/>
              <w:bidi/>
              <w:spacing w:after="0" w:line="240" w:lineRule="exact"/>
              <w:ind w:firstLine="173"/>
              <w:rPr>
                <w:lang w:eastAsia="en-US"/>
              </w:rPr>
            </w:pPr>
            <w:r w:rsidRPr="00735D0C">
              <w:rPr>
                <w:rFonts w:hint="cs"/>
                <w:rtl/>
                <w:lang w:eastAsia="en-US"/>
              </w:rPr>
              <w:t>عددت قشيرًا إذ عددت فلم أسأ</w:t>
            </w:r>
            <w:r w:rsidRPr="00735D0C">
              <w:rPr>
                <w:rtl/>
                <w:lang w:eastAsia="en-US"/>
              </w:rPr>
              <w:br/>
            </w:r>
          </w:p>
        </w:tc>
        <w:tc>
          <w:tcPr>
            <w:tcW w:w="709" w:type="dxa"/>
            <w:vAlign w:val="center"/>
          </w:tcPr>
          <w:p w:rsidR="007F464F" w:rsidRPr="00735D0C" w:rsidRDefault="007F464F" w:rsidP="007F464F">
            <w:pPr>
              <w:pStyle w:val="Abstract"/>
              <w:bidi/>
              <w:spacing w:after="0" w:line="240" w:lineRule="exact"/>
              <w:ind w:firstLine="173"/>
              <w:rPr>
                <w:rtl/>
                <w:lang w:eastAsia="en-US"/>
              </w:rPr>
            </w:pPr>
            <w:r w:rsidRPr="00735D0C">
              <w:rPr>
                <w:rFonts w:hint="cs"/>
                <w:rtl/>
                <w:lang w:eastAsia="en-US"/>
              </w:rPr>
              <w:t>*</w:t>
            </w:r>
          </w:p>
        </w:tc>
        <w:tc>
          <w:tcPr>
            <w:tcW w:w="2909" w:type="dxa"/>
            <w:vAlign w:val="center"/>
          </w:tcPr>
          <w:p w:rsidR="007F464F" w:rsidRPr="00735D0C" w:rsidRDefault="007F464F" w:rsidP="007F464F">
            <w:pPr>
              <w:pStyle w:val="Abstract"/>
              <w:bidi/>
              <w:spacing w:after="0" w:line="240" w:lineRule="exact"/>
              <w:ind w:firstLine="173"/>
              <w:rPr>
                <w:lang w:eastAsia="en-US"/>
              </w:rPr>
            </w:pPr>
            <w:r w:rsidRPr="00735D0C">
              <w:rPr>
                <w:rFonts w:hint="cs"/>
                <w:rtl/>
                <w:lang w:eastAsia="en-US"/>
              </w:rPr>
              <w:t>بذاك ولم أزعمك عن ذاك معزلا</w:t>
            </w:r>
            <w:r w:rsidRPr="00735D0C">
              <w:rPr>
                <w:rtl/>
                <w:lang w:eastAsia="en-US"/>
              </w:rPr>
              <w:br/>
            </w:r>
          </w:p>
        </w:tc>
      </w:tr>
    </w:tbl>
    <w:p w:rsidR="007F464F" w:rsidRPr="00735D0C" w:rsidRDefault="007F464F" w:rsidP="007F464F">
      <w:pPr>
        <w:pStyle w:val="Abstract"/>
        <w:bidi/>
        <w:spacing w:after="0" w:line="240" w:lineRule="exact"/>
        <w:ind w:firstLine="173"/>
        <w:rPr>
          <w:rtl/>
          <w:lang w:eastAsia="en-US"/>
        </w:rPr>
      </w:pPr>
      <w:r w:rsidRPr="00735D0C">
        <w:rPr>
          <w:rFonts w:hint="cs"/>
          <w:rtl/>
          <w:lang w:eastAsia="en-US"/>
        </w:rPr>
        <w:t>يعني: بمعزل، فكأن النصب بنزع الخافض، أو كأن النصب لـ"معزلا" من باب التوسُّع في الزمان، فنجعله مفعولًا به من باب هذا التوسع.</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وجهان في إعراب "مَعْزِلا" التي هي مفعول به ثانٍ لأزعم من قبيل التوسع، أو أنه: ولم أزعمك عن ذاك بمعزلِِ، ثم حذف الباء فانتصب الاسم على القاعدة، التي سنعيش معها -إن شاء الله- مع سيبويه في باب طويل آخر هذه الأبواب.</w:t>
      </w:r>
    </w:p>
    <w:tbl>
      <w:tblPr>
        <w:bidiVisual/>
        <w:tblW w:w="0" w:type="auto"/>
        <w:jc w:val="center"/>
        <w:tblLook w:val="01E0"/>
      </w:tblPr>
      <w:tblGrid>
        <w:gridCol w:w="2316"/>
        <w:gridCol w:w="608"/>
        <w:gridCol w:w="2328"/>
      </w:tblGrid>
      <w:tr w:rsidR="007F464F" w:rsidRPr="00735D0C" w:rsidTr="007F464F">
        <w:trPr>
          <w:trHeight w:hRule="exact" w:val="243"/>
          <w:jc w:val="center"/>
        </w:trPr>
        <w:tc>
          <w:tcPr>
            <w:tcW w:w="2909" w:type="dxa"/>
            <w:vAlign w:val="center"/>
          </w:tcPr>
          <w:p w:rsidR="007F464F" w:rsidRPr="00735D0C" w:rsidRDefault="007F464F" w:rsidP="007F464F">
            <w:pPr>
              <w:pStyle w:val="Abstract"/>
              <w:bidi/>
              <w:spacing w:after="0" w:line="240" w:lineRule="exact"/>
              <w:ind w:firstLine="173"/>
              <w:rPr>
                <w:lang w:eastAsia="en-US"/>
              </w:rPr>
            </w:pPr>
            <w:r w:rsidRPr="00735D0C">
              <w:rPr>
                <w:rFonts w:hint="cs"/>
                <w:rtl/>
                <w:lang w:eastAsia="en-US"/>
              </w:rPr>
              <w:t>عددت قشيرا إذ عددت فلم أسأ</w:t>
            </w:r>
            <w:r w:rsidRPr="00735D0C">
              <w:rPr>
                <w:rtl/>
                <w:lang w:eastAsia="en-US"/>
              </w:rPr>
              <w:br/>
            </w:r>
          </w:p>
        </w:tc>
        <w:tc>
          <w:tcPr>
            <w:tcW w:w="709" w:type="dxa"/>
            <w:vAlign w:val="center"/>
          </w:tcPr>
          <w:p w:rsidR="007F464F" w:rsidRPr="00735D0C" w:rsidRDefault="007F464F" w:rsidP="007F464F">
            <w:pPr>
              <w:pStyle w:val="Abstract"/>
              <w:bidi/>
              <w:spacing w:after="0" w:line="240" w:lineRule="exact"/>
              <w:ind w:firstLine="173"/>
              <w:rPr>
                <w:rtl/>
                <w:lang w:eastAsia="en-US"/>
              </w:rPr>
            </w:pPr>
            <w:r w:rsidRPr="00735D0C">
              <w:rPr>
                <w:rFonts w:hint="cs"/>
                <w:rtl/>
                <w:lang w:eastAsia="en-US"/>
              </w:rPr>
              <w:t>*</w:t>
            </w:r>
          </w:p>
        </w:tc>
        <w:tc>
          <w:tcPr>
            <w:tcW w:w="2909" w:type="dxa"/>
            <w:vAlign w:val="center"/>
          </w:tcPr>
          <w:p w:rsidR="007F464F" w:rsidRPr="00735D0C" w:rsidRDefault="007F464F" w:rsidP="007F464F">
            <w:pPr>
              <w:pStyle w:val="Abstract"/>
              <w:bidi/>
              <w:spacing w:after="0" w:line="240" w:lineRule="exact"/>
              <w:ind w:firstLine="173"/>
              <w:rPr>
                <w:lang w:eastAsia="en-US"/>
              </w:rPr>
            </w:pPr>
            <w:r w:rsidRPr="00735D0C">
              <w:rPr>
                <w:rFonts w:hint="cs"/>
                <w:rtl/>
                <w:lang w:eastAsia="en-US"/>
              </w:rPr>
              <w:t> بذاك ولم أزعمك عن ذاك معزلا</w:t>
            </w:r>
            <w:r w:rsidRPr="00735D0C">
              <w:rPr>
                <w:rtl/>
                <w:lang w:eastAsia="en-US"/>
              </w:rPr>
              <w:br/>
            </w:r>
          </w:p>
        </w:tc>
      </w:tr>
    </w:tbl>
    <w:p w:rsidR="007F464F" w:rsidRPr="00735D0C" w:rsidRDefault="007F464F" w:rsidP="007F464F">
      <w:pPr>
        <w:pStyle w:val="Abstract"/>
        <w:bidi/>
        <w:spacing w:after="0" w:line="240" w:lineRule="exact"/>
        <w:ind w:firstLine="173"/>
        <w:rPr>
          <w:rtl/>
          <w:lang w:eastAsia="en-US"/>
        </w:rPr>
      </w:pPr>
      <w:r w:rsidRPr="00735D0C">
        <w:rPr>
          <w:rFonts w:hint="cs"/>
          <w:rtl/>
          <w:lang w:eastAsia="en-US"/>
        </w:rPr>
        <w:t>ألا تلاحظ، أولًا: جمع بين شاهدين كلاهما من الطويل.</w:t>
      </w:r>
    </w:p>
    <w:p w:rsidR="007F464F" w:rsidRPr="00735D0C" w:rsidRDefault="007F464F" w:rsidP="007F464F">
      <w:pPr>
        <w:pStyle w:val="Abstract"/>
        <w:bidi/>
        <w:spacing w:after="0" w:line="240" w:lineRule="exact"/>
        <w:ind w:firstLine="173"/>
        <w:rPr>
          <w:lang w:eastAsia="en-US"/>
        </w:rPr>
      </w:pPr>
      <w:r w:rsidRPr="00735D0C">
        <w:rPr>
          <w:rFonts w:hint="cs"/>
          <w:rtl/>
          <w:lang w:eastAsia="en-US"/>
        </w:rPr>
        <w:t>إن قول أبي ذؤيب:</w:t>
      </w:r>
    </w:p>
    <w:tbl>
      <w:tblPr>
        <w:bidiVisual/>
        <w:tblW w:w="0" w:type="auto"/>
        <w:jc w:val="center"/>
        <w:tblLook w:val="01E0"/>
      </w:tblPr>
      <w:tblGrid>
        <w:gridCol w:w="2338"/>
        <w:gridCol w:w="604"/>
        <w:gridCol w:w="2310"/>
      </w:tblGrid>
      <w:tr w:rsidR="007F464F" w:rsidRPr="007F464F" w:rsidTr="007F464F">
        <w:trPr>
          <w:trHeight w:hRule="exact" w:val="234"/>
          <w:jc w:val="center"/>
        </w:trPr>
        <w:tc>
          <w:tcPr>
            <w:tcW w:w="2909" w:type="dxa"/>
            <w:vAlign w:val="center"/>
          </w:tcPr>
          <w:p w:rsidR="007F464F" w:rsidRPr="007F464F" w:rsidRDefault="007F464F" w:rsidP="007F464F">
            <w:pPr>
              <w:pStyle w:val="Abstract"/>
              <w:bidi/>
              <w:spacing w:after="0" w:line="240" w:lineRule="exact"/>
              <w:ind w:firstLine="173"/>
              <w:rPr>
                <w:lang w:eastAsia="en-US"/>
              </w:rPr>
            </w:pPr>
            <w:r w:rsidRPr="007F464F">
              <w:rPr>
                <w:rFonts w:hint="cs"/>
                <w:rtl/>
                <w:lang w:eastAsia="en-US"/>
              </w:rPr>
              <w:t>فإن تزعميني كنت أجهل فيكم</w:t>
            </w:r>
            <w:r w:rsidRPr="007F464F">
              <w:rPr>
                <w:rtl/>
                <w:lang w:eastAsia="en-US"/>
              </w:rPr>
              <w:br/>
            </w:r>
          </w:p>
        </w:tc>
        <w:tc>
          <w:tcPr>
            <w:tcW w:w="709" w:type="dxa"/>
            <w:vAlign w:val="center"/>
          </w:tcPr>
          <w:p w:rsidR="007F464F" w:rsidRPr="007F464F" w:rsidRDefault="007F464F" w:rsidP="007F464F">
            <w:pPr>
              <w:pStyle w:val="Abstract"/>
              <w:bidi/>
              <w:spacing w:after="0" w:line="240" w:lineRule="exact"/>
              <w:ind w:firstLine="173"/>
              <w:rPr>
                <w:rtl/>
                <w:lang w:eastAsia="en-US"/>
              </w:rPr>
            </w:pPr>
            <w:r w:rsidRPr="007F464F">
              <w:rPr>
                <w:rFonts w:hint="cs"/>
                <w:rtl/>
                <w:lang w:eastAsia="en-US"/>
              </w:rPr>
              <w:t>*</w:t>
            </w:r>
          </w:p>
        </w:tc>
        <w:tc>
          <w:tcPr>
            <w:tcW w:w="2909" w:type="dxa"/>
            <w:vAlign w:val="center"/>
          </w:tcPr>
          <w:p w:rsidR="007F464F" w:rsidRPr="007F464F" w:rsidRDefault="007F464F" w:rsidP="007F464F">
            <w:pPr>
              <w:pStyle w:val="Abstract"/>
              <w:bidi/>
              <w:spacing w:after="0" w:line="240" w:lineRule="exact"/>
              <w:ind w:firstLine="173"/>
              <w:rPr>
                <w:lang w:eastAsia="en-US"/>
              </w:rPr>
            </w:pPr>
            <w:r w:rsidRPr="007F464F">
              <w:rPr>
                <w:rFonts w:hint="cs"/>
                <w:rtl/>
                <w:lang w:eastAsia="en-US"/>
              </w:rPr>
              <w:t>فإني شريت الحلم بعدك بالجهل</w:t>
            </w:r>
            <w:r w:rsidRPr="007F464F">
              <w:rPr>
                <w:rtl/>
                <w:lang w:eastAsia="en-US"/>
              </w:rPr>
              <w:br/>
            </w:r>
          </w:p>
        </w:tc>
      </w:tr>
    </w:tbl>
    <w:p w:rsidR="007F464F" w:rsidRPr="007F464F" w:rsidRDefault="007F464F" w:rsidP="007F464F">
      <w:pPr>
        <w:pStyle w:val="Abstract"/>
        <w:bidi/>
        <w:spacing w:after="0" w:line="240" w:lineRule="exact"/>
        <w:ind w:firstLine="173"/>
        <w:rPr>
          <w:lang w:eastAsia="en-US"/>
        </w:rPr>
      </w:pPr>
      <w:r w:rsidRPr="007F464F">
        <w:rPr>
          <w:rFonts w:hint="cs"/>
          <w:rtl/>
          <w:lang w:eastAsia="en-US"/>
        </w:rPr>
        <w:t>من الطويل، و:</w:t>
      </w:r>
    </w:p>
    <w:tbl>
      <w:tblPr>
        <w:bidiVisual/>
        <w:tblW w:w="0" w:type="auto"/>
        <w:jc w:val="center"/>
        <w:tblLook w:val="01E0"/>
      </w:tblPr>
      <w:tblGrid>
        <w:gridCol w:w="2339"/>
        <w:gridCol w:w="612"/>
        <w:gridCol w:w="2301"/>
      </w:tblGrid>
      <w:tr w:rsidR="007F464F" w:rsidRPr="007F464F" w:rsidTr="007F464F">
        <w:trPr>
          <w:trHeight w:hRule="exact" w:val="207"/>
          <w:jc w:val="center"/>
        </w:trPr>
        <w:tc>
          <w:tcPr>
            <w:tcW w:w="2909" w:type="dxa"/>
            <w:vAlign w:val="center"/>
          </w:tcPr>
          <w:p w:rsidR="007F464F" w:rsidRPr="007F464F" w:rsidRDefault="007F464F" w:rsidP="007F464F">
            <w:pPr>
              <w:pStyle w:val="Abstract"/>
              <w:bidi/>
              <w:spacing w:after="0" w:line="240" w:lineRule="exact"/>
              <w:ind w:firstLine="173"/>
              <w:rPr>
                <w:lang w:eastAsia="en-US"/>
              </w:rPr>
            </w:pPr>
            <w:r w:rsidRPr="007F464F">
              <w:rPr>
                <w:rFonts w:hint="cs"/>
                <w:rtl/>
                <w:lang w:eastAsia="en-US"/>
              </w:rPr>
              <w:t>عددت قشيرًا إذ عددت فلم أسأ</w:t>
            </w:r>
            <w:r w:rsidRPr="007F464F">
              <w:rPr>
                <w:rtl/>
                <w:lang w:eastAsia="en-US"/>
              </w:rPr>
              <w:br/>
            </w:r>
          </w:p>
        </w:tc>
        <w:tc>
          <w:tcPr>
            <w:tcW w:w="709" w:type="dxa"/>
            <w:vAlign w:val="center"/>
          </w:tcPr>
          <w:p w:rsidR="007F464F" w:rsidRPr="007F464F" w:rsidRDefault="007F464F" w:rsidP="007F464F">
            <w:pPr>
              <w:pStyle w:val="Abstract"/>
              <w:bidi/>
              <w:spacing w:after="0" w:line="240" w:lineRule="exact"/>
              <w:ind w:firstLine="173"/>
              <w:rPr>
                <w:rtl/>
                <w:lang w:eastAsia="en-US"/>
              </w:rPr>
            </w:pPr>
            <w:r w:rsidRPr="007F464F">
              <w:rPr>
                <w:rFonts w:hint="cs"/>
                <w:rtl/>
                <w:lang w:eastAsia="en-US"/>
              </w:rPr>
              <w:t>*</w:t>
            </w:r>
          </w:p>
        </w:tc>
        <w:tc>
          <w:tcPr>
            <w:tcW w:w="2909" w:type="dxa"/>
            <w:vAlign w:val="center"/>
          </w:tcPr>
          <w:p w:rsidR="007F464F" w:rsidRPr="007F464F" w:rsidRDefault="007F464F" w:rsidP="007F464F">
            <w:pPr>
              <w:pStyle w:val="Abstract"/>
              <w:bidi/>
              <w:spacing w:after="0" w:line="240" w:lineRule="exact"/>
              <w:ind w:firstLine="173"/>
              <w:rPr>
                <w:rtl/>
                <w:lang w:eastAsia="en-US"/>
              </w:rPr>
            </w:pPr>
            <w:r w:rsidRPr="007F464F">
              <w:rPr>
                <w:rFonts w:hint="cs"/>
                <w:rtl/>
                <w:lang w:eastAsia="en-US"/>
              </w:rPr>
              <w:t>.... .... .... ....</w:t>
            </w:r>
            <w:r w:rsidRPr="007F464F">
              <w:rPr>
                <w:rFonts w:hint="cs"/>
                <w:rtl/>
                <w:lang w:eastAsia="en-US"/>
              </w:rPr>
              <w:br/>
            </w:r>
          </w:p>
        </w:tc>
      </w:tr>
    </w:tbl>
    <w:p w:rsidR="007F464F" w:rsidRPr="007F464F" w:rsidRDefault="007F464F" w:rsidP="007F464F">
      <w:pPr>
        <w:pStyle w:val="Abstract"/>
        <w:bidi/>
        <w:spacing w:after="0" w:line="240" w:lineRule="exact"/>
        <w:ind w:firstLine="173"/>
        <w:rPr>
          <w:lang w:eastAsia="en-US"/>
        </w:rPr>
      </w:pPr>
      <w:r w:rsidRPr="007F464F">
        <w:rPr>
          <w:rFonts w:hint="cs"/>
          <w:rtl/>
          <w:lang w:eastAsia="en-US"/>
        </w:rPr>
        <w:t>من الطويل.</w:t>
      </w:r>
    </w:p>
    <w:p w:rsidR="007F464F" w:rsidRPr="007F464F" w:rsidRDefault="007F464F" w:rsidP="007F464F">
      <w:pPr>
        <w:pStyle w:val="Abstract"/>
        <w:bidi/>
        <w:spacing w:after="0" w:line="240" w:lineRule="exact"/>
        <w:ind w:firstLine="173"/>
        <w:rPr>
          <w:lang w:eastAsia="en-US"/>
        </w:rPr>
      </w:pPr>
      <w:r w:rsidRPr="007F464F">
        <w:rPr>
          <w:rFonts w:hint="cs"/>
          <w:rtl/>
          <w:lang w:eastAsia="en-US"/>
        </w:rPr>
        <w:t xml:space="preserve">إذن، هناك تناغم واتفاق واتساق بين الشاهدين، لكن انظر كأن القدر يُملي على سيبويه جمالًا على جمال، بدأ البيت الأول بقوله: "فإن تزعميني" فجاء الفعل في الشطر الأول من البيت، أما الشاهد الثاني: </w:t>
      </w:r>
    </w:p>
    <w:tbl>
      <w:tblPr>
        <w:bidiVisual/>
        <w:tblW w:w="0" w:type="auto"/>
        <w:jc w:val="center"/>
        <w:tblLook w:val="01E0"/>
      </w:tblPr>
      <w:tblGrid>
        <w:gridCol w:w="2316"/>
        <w:gridCol w:w="608"/>
        <w:gridCol w:w="2328"/>
      </w:tblGrid>
      <w:tr w:rsidR="007F464F" w:rsidRPr="007F464F" w:rsidTr="007F464F">
        <w:trPr>
          <w:trHeight w:hRule="exact" w:val="216"/>
          <w:jc w:val="center"/>
        </w:trPr>
        <w:tc>
          <w:tcPr>
            <w:tcW w:w="2909" w:type="dxa"/>
            <w:vAlign w:val="center"/>
          </w:tcPr>
          <w:p w:rsidR="007F464F" w:rsidRPr="007F464F" w:rsidRDefault="007F464F" w:rsidP="007F464F">
            <w:pPr>
              <w:pStyle w:val="Abstract"/>
              <w:bidi/>
              <w:spacing w:after="0" w:line="240" w:lineRule="exact"/>
              <w:ind w:firstLine="173"/>
              <w:rPr>
                <w:lang w:eastAsia="en-US"/>
              </w:rPr>
            </w:pPr>
            <w:r w:rsidRPr="007F464F">
              <w:rPr>
                <w:rFonts w:hint="cs"/>
                <w:rtl/>
                <w:lang w:eastAsia="en-US"/>
              </w:rPr>
              <w:t>عددت قشيرًا إذ عددت فلم أسأ</w:t>
            </w:r>
            <w:r w:rsidRPr="007F464F">
              <w:rPr>
                <w:rtl/>
                <w:lang w:eastAsia="en-US"/>
              </w:rPr>
              <w:br/>
            </w:r>
          </w:p>
        </w:tc>
        <w:tc>
          <w:tcPr>
            <w:tcW w:w="709" w:type="dxa"/>
            <w:vAlign w:val="center"/>
          </w:tcPr>
          <w:p w:rsidR="007F464F" w:rsidRPr="007F464F" w:rsidRDefault="007F464F" w:rsidP="007F464F">
            <w:pPr>
              <w:pStyle w:val="Abstract"/>
              <w:bidi/>
              <w:spacing w:after="0" w:line="240" w:lineRule="exact"/>
              <w:ind w:firstLine="173"/>
              <w:rPr>
                <w:rtl/>
                <w:lang w:eastAsia="en-US"/>
              </w:rPr>
            </w:pPr>
            <w:r w:rsidRPr="007F464F">
              <w:rPr>
                <w:rFonts w:hint="cs"/>
                <w:rtl/>
                <w:lang w:eastAsia="en-US"/>
              </w:rPr>
              <w:t>*</w:t>
            </w:r>
          </w:p>
        </w:tc>
        <w:tc>
          <w:tcPr>
            <w:tcW w:w="2909" w:type="dxa"/>
            <w:vAlign w:val="center"/>
          </w:tcPr>
          <w:p w:rsidR="007F464F" w:rsidRPr="007F464F" w:rsidRDefault="007F464F" w:rsidP="007F464F">
            <w:pPr>
              <w:pStyle w:val="Abstract"/>
              <w:bidi/>
              <w:spacing w:after="0" w:line="240" w:lineRule="exact"/>
              <w:ind w:firstLine="173"/>
              <w:rPr>
                <w:lang w:eastAsia="en-US"/>
              </w:rPr>
            </w:pPr>
            <w:r w:rsidRPr="007F464F">
              <w:rPr>
                <w:rFonts w:hint="cs"/>
                <w:rtl/>
                <w:lang w:eastAsia="en-US"/>
              </w:rPr>
              <w:t>بذاك ولم أزعمك عن ذاك</w:t>
            </w:r>
            <w:r w:rsidRPr="007F464F">
              <w:rPr>
                <w:rtl/>
                <w:lang w:eastAsia="en-US"/>
              </w:rPr>
              <w:br/>
            </w:r>
          </w:p>
        </w:tc>
      </w:tr>
    </w:tbl>
    <w:p w:rsidR="007F464F" w:rsidRPr="007F464F" w:rsidRDefault="007F464F" w:rsidP="007F464F">
      <w:pPr>
        <w:pStyle w:val="Abstract"/>
        <w:bidi/>
        <w:spacing w:after="0" w:line="240" w:lineRule="exact"/>
        <w:ind w:firstLine="173"/>
        <w:rPr>
          <w:rtl/>
          <w:lang w:eastAsia="en-US"/>
        </w:rPr>
      </w:pPr>
      <w:r w:rsidRPr="007F464F">
        <w:rPr>
          <w:rFonts w:hint="cs"/>
          <w:rtl/>
          <w:lang w:eastAsia="en-US"/>
        </w:rPr>
        <w:t>فجاء الفعل العامل في الشطر الثاني من البيت الثاني في الشواهد.</w:t>
      </w:r>
    </w:p>
    <w:p w:rsidR="007F464F" w:rsidRPr="007F464F" w:rsidRDefault="007F464F" w:rsidP="007F464F">
      <w:pPr>
        <w:pStyle w:val="Abstract"/>
        <w:bidi/>
        <w:spacing w:after="0" w:line="240" w:lineRule="exact"/>
        <w:ind w:firstLine="173"/>
        <w:rPr>
          <w:lang w:eastAsia="en-US"/>
        </w:rPr>
      </w:pPr>
      <w:r w:rsidRPr="007F464F">
        <w:rPr>
          <w:rFonts w:hint="cs"/>
          <w:rtl/>
          <w:lang w:eastAsia="en-US"/>
        </w:rPr>
        <w:t>هذا، لو اجتمعت عليه أمة ما استطاعت أن تفطن إليه، وما اهتمت به؛ لكنه سيبويه الذي يهتم بما أقوله.</w:t>
      </w:r>
    </w:p>
    <w:p w:rsidR="00826145" w:rsidRPr="00826145" w:rsidRDefault="007F464F" w:rsidP="007F464F">
      <w:pPr>
        <w:pStyle w:val="Abstract"/>
        <w:bidi/>
        <w:spacing w:after="0" w:line="240" w:lineRule="exact"/>
        <w:ind w:firstLine="173"/>
        <w:rPr>
          <w:lang w:eastAsia="en-US"/>
        </w:rPr>
      </w:pPr>
      <w:r w:rsidRPr="007F464F">
        <w:rPr>
          <w:rFonts w:hint="cs"/>
          <w:rtl/>
          <w:lang w:eastAsia="en-US"/>
        </w:rPr>
        <w:t>"بذاك ولم أزعمك" ابتدأ الكلام: "ولم أزعمك" وكأنه ينبهك إلى أن لا تكون طفلًا صغيرا حين تتناول كتابه لا تنتظر أن يبدأ كلامه بالزعم في أول الشطر، وإنما تتعلق الكلمات ببعضها كما قال: "فلم أُسأ بذاك" انتهى الكلام ثم ابتدأ فقال: "ولم أزعمكَ" وجاءك بالفعل مجزومًا مخاطِبًا رجلًا كما جاءك بالفعل مجزومًا مخاطبًا امرأة في البيت الذي قبله، أي شيء هذا؟ فإن تزعميني وإنْ أم الباب وهي شرطية جازمة، ولمْ جازمة وهكذا يكون.</w:t>
      </w:r>
    </w:p>
    <w:p w:rsidR="00006F7B" w:rsidRPr="00A44522" w:rsidRDefault="007345A3" w:rsidP="00826145">
      <w:pPr>
        <w:pStyle w:val="1"/>
        <w:tabs>
          <w:tab w:val="clear" w:pos="0"/>
        </w:tabs>
        <w:bidi/>
        <w:ind w:left="936" w:firstLine="0"/>
        <w:rPr>
          <w:rtl/>
        </w:rPr>
      </w:pPr>
      <w:r>
        <w:rPr>
          <w:rFonts w:hint="cs"/>
          <w:rtl/>
        </w:rPr>
        <w:lastRenderedPageBreak/>
        <w:t>المراجع والمصادر</w:t>
      </w:r>
    </w:p>
    <w:p w:rsidR="009F4857" w:rsidRPr="00BD267B" w:rsidRDefault="009F4857" w:rsidP="009F4857">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9F4857" w:rsidRPr="00BD267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9F4857" w:rsidRPr="00BD267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أنباه الرواة على أنباه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محمد أبو الفضل إبراهيم، دار الكتب المصرية، 1950م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طبقات الشافعية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المدار ال</w:t>
      </w:r>
      <w:r w:rsidRPr="0098735B">
        <w:rPr>
          <w:rFonts w:ascii="Arial" w:hAnsi="Arial" w:cs="Arial" w:hint="cs"/>
          <w:color w:val="222222"/>
          <w:sz w:val="20"/>
          <w:szCs w:val="20"/>
          <w:rtl/>
        </w:rPr>
        <w:t>إ</w:t>
      </w:r>
      <w:r w:rsidRPr="0098735B">
        <w:rPr>
          <w:rFonts w:ascii="Arial" w:hAnsi="Arial" w:cs="Arial"/>
          <w:color w:val="222222"/>
          <w:sz w:val="20"/>
          <w:szCs w:val="20"/>
          <w:rtl/>
        </w:rPr>
        <w:t>سلامي للتوزيع، 2003م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شذرات الذهب في أخبار من ذهب</w:t>
      </w:r>
      <w:r w:rsidRPr="00BD267B">
        <w:rPr>
          <w:rFonts w:ascii="Arial" w:hAnsi="Arial" w:cs="Arial" w:hint="cs"/>
          <w:color w:val="222222"/>
          <w:sz w:val="20"/>
          <w:szCs w:val="20"/>
          <w:rtl/>
        </w:rPr>
        <w:t>)</w:t>
      </w:r>
      <w:r w:rsidRPr="0098735B">
        <w:rPr>
          <w:rFonts w:ascii="Arial" w:hAnsi="Arial" w:cs="Arial"/>
          <w:color w:val="222222"/>
          <w:sz w:val="20"/>
          <w:szCs w:val="20"/>
          <w:rtl/>
        </w:rPr>
        <w:t>، تحقيق: عبد القادر الأرناؤوط ومحمود الأرناؤوط، سوريا،</w:t>
      </w:r>
      <w:r w:rsidRPr="0098735B">
        <w:rPr>
          <w:rFonts w:ascii="Arial" w:hAnsi="Arial" w:cs="Arial" w:hint="cs"/>
          <w:color w:val="222222"/>
          <w:sz w:val="20"/>
          <w:szCs w:val="20"/>
          <w:rtl/>
        </w:rPr>
        <w:t xml:space="preserve"> </w:t>
      </w:r>
      <w:r w:rsidRPr="0098735B">
        <w:rPr>
          <w:rFonts w:ascii="Arial" w:hAnsi="Arial" w:cs="Arial"/>
          <w:color w:val="222222"/>
          <w:sz w:val="20"/>
          <w:szCs w:val="20"/>
          <w:rtl/>
        </w:rPr>
        <w:t>دار ابن كثير، 1986م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الإنصاف في مسائل الخلاف</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2007م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البيان في غريب إعراب القرآن</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2002م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مغني اللبيب عن كتب الأعاريب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2001م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الأشموني على ألفية ابن مالك</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1998م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الخصائص</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2006م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الكافية الشافية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2000م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حاشية الصبان على شرح الأشموني</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1997م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بغية الدعاة في طبقات اللغويين والنحاة</w:t>
      </w:r>
      <w:r w:rsidRPr="00BD267B">
        <w:rPr>
          <w:rFonts w:ascii="Arial" w:hAnsi="Arial" w:cs="Arial" w:hint="cs"/>
          <w:color w:val="222222"/>
          <w:sz w:val="20"/>
          <w:szCs w:val="20"/>
          <w:rtl/>
        </w:rPr>
        <w:t>)</w:t>
      </w:r>
      <w:r w:rsidRPr="0098735B">
        <w:rPr>
          <w:rFonts w:ascii="Arial" w:hAnsi="Arial" w:cs="Arial"/>
          <w:color w:val="222222"/>
          <w:sz w:val="20"/>
          <w:szCs w:val="20"/>
          <w:rtl/>
        </w:rPr>
        <w:t>، تحقيق: محمد أبو الفضل إبراهيم، القاهرة، مطبعة عيسى البابي الحلبي، 1964م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الطنطاوي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نشأة النحو وتاريخ أشهر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1997م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الرضي على الكافية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يوسف حسن عمر، جامعة قاريونس، 1978م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المفصل</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1996م.</w:t>
      </w:r>
    </w:p>
    <w:p w:rsidR="009F4857" w:rsidRPr="0098735B"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لسان العرب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بيروت، دار صادر، 1970م</w:t>
      </w:r>
    </w:p>
    <w:p w:rsidR="009F4857" w:rsidRPr="00184629"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العكبري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اللباب في علل البناء والإعراب</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الفكر المعاصر للطباعة والنشر والتوزيع، 1995م</w:t>
      </w:r>
    </w:p>
    <w:p w:rsidR="009F4857" w:rsidRPr="00184629" w:rsidRDefault="009F4857" w:rsidP="009F4857">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Pr="00BD267B">
        <w:rPr>
          <w:rFonts w:ascii="Arial" w:hAnsi="Arial" w:cs="Arial" w:hint="cs"/>
          <w:color w:val="222222"/>
          <w:sz w:val="20"/>
          <w:szCs w:val="20"/>
          <w:rtl/>
        </w:rPr>
        <w:t>(</w:t>
      </w:r>
      <w:r w:rsidRPr="00BD267B">
        <w:rPr>
          <w:rFonts w:ascii="Arial" w:hAnsi="Arial" w:cs="Arial"/>
          <w:color w:val="222222"/>
          <w:sz w:val="20"/>
          <w:szCs w:val="20"/>
          <w:rtl/>
        </w:rPr>
        <w:t>همع الهوامع في شرح جمع الجوامع</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الكتب العلمية، 1997م</w:t>
      </w:r>
    </w:p>
    <w:p w:rsidR="00E5535F" w:rsidRPr="009F4857" w:rsidRDefault="009F4857" w:rsidP="009F4857">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الأندلسي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تفسير البحر المحيط</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تحقيق: عادل أحمد وعلي معوض</w:t>
      </w:r>
      <w:r w:rsidRPr="00184629">
        <w:rPr>
          <w:rFonts w:ascii="Arial" w:hAnsi="Arial" w:cs="Arial" w:hint="cs"/>
          <w:color w:val="222222"/>
          <w:sz w:val="20"/>
          <w:szCs w:val="20"/>
          <w:rtl/>
        </w:rPr>
        <w:t>،</w:t>
      </w:r>
      <w:r w:rsidRPr="00184629">
        <w:rPr>
          <w:rFonts w:ascii="Arial" w:hAnsi="Arial" w:cs="Arial"/>
          <w:color w:val="222222"/>
          <w:sz w:val="20"/>
          <w:szCs w:val="20"/>
          <w:rtl/>
        </w:rPr>
        <w:t xml:space="preserve"> بيروت،</w:t>
      </w:r>
      <w:r w:rsidRPr="00184629">
        <w:rPr>
          <w:rFonts w:ascii="Arial" w:hAnsi="Arial" w:cs="Arial" w:hint="cs"/>
          <w:color w:val="222222"/>
          <w:sz w:val="20"/>
          <w:szCs w:val="20"/>
          <w:rtl/>
        </w:rPr>
        <w:t xml:space="preserve"> </w:t>
      </w:r>
      <w:r w:rsidRPr="00184629">
        <w:rPr>
          <w:rFonts w:ascii="Arial" w:hAnsi="Arial" w:cs="Arial"/>
          <w:color w:val="222222"/>
          <w:sz w:val="20"/>
          <w:szCs w:val="20"/>
          <w:rtl/>
        </w:rPr>
        <w:t>دار الكتب العلمية، 1413هـ</w:t>
      </w:r>
    </w:p>
    <w:sectPr w:rsidR="00E5535F" w:rsidRPr="009F4857"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014" w:rsidRDefault="00CE6014" w:rsidP="000C4416">
      <w:r>
        <w:separator/>
      </w:r>
    </w:p>
  </w:endnote>
  <w:endnote w:type="continuationSeparator" w:id="1">
    <w:p w:rsidR="00CE6014" w:rsidRDefault="00CE6014"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DecoType Thuluth">
    <w:panose1 w:val="02010000000000000000"/>
    <w:charset w:val="B2"/>
    <w:family w:val="auto"/>
    <w:pitch w:val="variable"/>
    <w:sig w:usb0="00002001" w:usb1="80000000" w:usb2="00000008" w:usb3="00000000" w:csb0="00000040" w:csb1="00000000"/>
  </w:font>
  <w:font w:name="QCF_P005">
    <w:panose1 w:val="02000400000000000000"/>
    <w:charset w:val="00"/>
    <w:family w:val="auto"/>
    <w:pitch w:val="variable"/>
    <w:sig w:usb0="80002003" w:usb1="90000000" w:usb2="00000008" w:usb3="00000000" w:csb0="80000041" w:csb1="00000000"/>
  </w:font>
  <w:font w:name="QCF_P239">
    <w:panose1 w:val="02000400000000000000"/>
    <w:charset w:val="00"/>
    <w:family w:val="auto"/>
    <w:pitch w:val="variable"/>
    <w:sig w:usb0="80002003" w:usb1="90000000" w:usb2="00000008" w:usb3="00000000" w:csb0="80000041" w:csb1="00000000"/>
  </w:font>
  <w:font w:name="QCF_P436">
    <w:panose1 w:val="02000400000000000000"/>
    <w:charset w:val="00"/>
    <w:family w:val="auto"/>
    <w:pitch w:val="variable"/>
    <w:sig w:usb0="80002003" w:usb1="90000000" w:usb2="00000008" w:usb3="00000000" w:csb0="80000041" w:csb1="00000000"/>
  </w:font>
  <w:font w:name="QCF_P422">
    <w:panose1 w:val="02000400000000000000"/>
    <w:charset w:val="00"/>
    <w:family w:val="auto"/>
    <w:pitch w:val="variable"/>
    <w:sig w:usb0="80002003" w:usb1="90000000" w:usb2="00000008" w:usb3="00000000" w:csb0="80000041" w:csb1="00000000"/>
  </w:font>
  <w:font w:name="QCF_P028">
    <w:panose1 w:val="02000400000000000000"/>
    <w:charset w:val="00"/>
    <w:family w:val="auto"/>
    <w:pitch w:val="variable"/>
    <w:sig w:usb0="80002003" w:usb1="90000000" w:usb2="00000008" w:usb3="00000000" w:csb0="80000041" w:csb1="00000000"/>
  </w:font>
  <w:font w:name="QCF_P560">
    <w:panose1 w:val="02000400000000000000"/>
    <w:charset w:val="00"/>
    <w:family w:val="auto"/>
    <w:pitch w:val="variable"/>
    <w:sig w:usb0="80002003" w:usb1="90000000" w:usb2="00000008" w:usb3="00000000" w:csb0="80000041" w:csb1="00000000"/>
  </w:font>
  <w:font w:name="QCF_P601">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014" w:rsidRDefault="00CE6014" w:rsidP="000C4416">
      <w:r>
        <w:separator/>
      </w:r>
    </w:p>
  </w:footnote>
  <w:footnote w:type="continuationSeparator" w:id="1">
    <w:p w:rsidR="00CE6014" w:rsidRDefault="00CE6014"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F056C6"/>
    <w:multiLevelType w:val="hybridMultilevel"/>
    <w:tmpl w:val="773C9788"/>
    <w:lvl w:ilvl="0" w:tplc="04090013">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1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57A8F"/>
    <w:rsid w:val="00063648"/>
    <w:rsid w:val="000677A3"/>
    <w:rsid w:val="0007783C"/>
    <w:rsid w:val="0008662E"/>
    <w:rsid w:val="00097F14"/>
    <w:rsid w:val="000A261E"/>
    <w:rsid w:val="000C212C"/>
    <w:rsid w:val="000C4416"/>
    <w:rsid w:val="000E2248"/>
    <w:rsid w:val="00100A21"/>
    <w:rsid w:val="00143845"/>
    <w:rsid w:val="001677B7"/>
    <w:rsid w:val="00172029"/>
    <w:rsid w:val="0017791D"/>
    <w:rsid w:val="00180355"/>
    <w:rsid w:val="001835BD"/>
    <w:rsid w:val="00197B5F"/>
    <w:rsid w:val="001B1FA5"/>
    <w:rsid w:val="001C5A2C"/>
    <w:rsid w:val="00226423"/>
    <w:rsid w:val="00251720"/>
    <w:rsid w:val="00265FEB"/>
    <w:rsid w:val="00276E36"/>
    <w:rsid w:val="0029290A"/>
    <w:rsid w:val="00297415"/>
    <w:rsid w:val="002A0A20"/>
    <w:rsid w:val="002A221E"/>
    <w:rsid w:val="002E0EFA"/>
    <w:rsid w:val="003B5B7D"/>
    <w:rsid w:val="00403B33"/>
    <w:rsid w:val="00444EE2"/>
    <w:rsid w:val="00455953"/>
    <w:rsid w:val="00455C43"/>
    <w:rsid w:val="00461F7F"/>
    <w:rsid w:val="0046344E"/>
    <w:rsid w:val="0046422F"/>
    <w:rsid w:val="0047261F"/>
    <w:rsid w:val="00477ECE"/>
    <w:rsid w:val="0048563C"/>
    <w:rsid w:val="004A6804"/>
    <w:rsid w:val="004B0223"/>
    <w:rsid w:val="004C5EF3"/>
    <w:rsid w:val="004F2EF7"/>
    <w:rsid w:val="0052167A"/>
    <w:rsid w:val="00531265"/>
    <w:rsid w:val="005648FF"/>
    <w:rsid w:val="00582DC7"/>
    <w:rsid w:val="005A0FF9"/>
    <w:rsid w:val="005A15C9"/>
    <w:rsid w:val="005A3FD3"/>
    <w:rsid w:val="005B0BFC"/>
    <w:rsid w:val="00614F38"/>
    <w:rsid w:val="006226AB"/>
    <w:rsid w:val="00626F1D"/>
    <w:rsid w:val="00665469"/>
    <w:rsid w:val="00680242"/>
    <w:rsid w:val="00680673"/>
    <w:rsid w:val="006F0791"/>
    <w:rsid w:val="00713EA5"/>
    <w:rsid w:val="0072481B"/>
    <w:rsid w:val="007345A3"/>
    <w:rsid w:val="00735D0C"/>
    <w:rsid w:val="007769D6"/>
    <w:rsid w:val="00793A54"/>
    <w:rsid w:val="007C4E09"/>
    <w:rsid w:val="007F464F"/>
    <w:rsid w:val="00821F7F"/>
    <w:rsid w:val="00826145"/>
    <w:rsid w:val="008465A4"/>
    <w:rsid w:val="008515B7"/>
    <w:rsid w:val="008D2AC5"/>
    <w:rsid w:val="00931DFC"/>
    <w:rsid w:val="00950E8D"/>
    <w:rsid w:val="009A452E"/>
    <w:rsid w:val="009F4857"/>
    <w:rsid w:val="00A05529"/>
    <w:rsid w:val="00A4365D"/>
    <w:rsid w:val="00A44522"/>
    <w:rsid w:val="00A459F7"/>
    <w:rsid w:val="00A5227F"/>
    <w:rsid w:val="00A628ED"/>
    <w:rsid w:val="00A64544"/>
    <w:rsid w:val="00A71A81"/>
    <w:rsid w:val="00A7496D"/>
    <w:rsid w:val="00A84F26"/>
    <w:rsid w:val="00A86CCB"/>
    <w:rsid w:val="00AC2A88"/>
    <w:rsid w:val="00AE5DD6"/>
    <w:rsid w:val="00B16CCA"/>
    <w:rsid w:val="00B5552B"/>
    <w:rsid w:val="00B67BC9"/>
    <w:rsid w:val="00B96CE5"/>
    <w:rsid w:val="00BA14B1"/>
    <w:rsid w:val="00BC4B1A"/>
    <w:rsid w:val="00C47514"/>
    <w:rsid w:val="00CB4B1B"/>
    <w:rsid w:val="00CD32B0"/>
    <w:rsid w:val="00CE6014"/>
    <w:rsid w:val="00CE7BBC"/>
    <w:rsid w:val="00D01C0B"/>
    <w:rsid w:val="00D17F47"/>
    <w:rsid w:val="00D262D8"/>
    <w:rsid w:val="00D4340B"/>
    <w:rsid w:val="00D768DB"/>
    <w:rsid w:val="00D919B7"/>
    <w:rsid w:val="00DE155D"/>
    <w:rsid w:val="00DF6E09"/>
    <w:rsid w:val="00E10CDA"/>
    <w:rsid w:val="00E42342"/>
    <w:rsid w:val="00E45FDD"/>
    <w:rsid w:val="00E517E0"/>
    <w:rsid w:val="00E5535F"/>
    <w:rsid w:val="00E72D31"/>
    <w:rsid w:val="00EE45C1"/>
    <w:rsid w:val="00EE6F64"/>
    <w:rsid w:val="00F51C8F"/>
    <w:rsid w:val="00F52E5A"/>
    <w:rsid w:val="00F718C2"/>
    <w:rsid w:val="00F750A7"/>
    <w:rsid w:val="00F90E05"/>
    <w:rsid w:val="00F942CD"/>
    <w:rsid w:val="00FA3409"/>
    <w:rsid w:val="00FC1CEF"/>
    <w:rsid w:val="00FD74FD"/>
    <w:rsid w:val="00FD7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DA"/>
    <w:pPr>
      <w:suppressAutoHyphens/>
      <w:jc w:val="center"/>
    </w:pPr>
    <w:rPr>
      <w:rFonts w:eastAsia="SimSun"/>
      <w:lang w:eastAsia="zh-CN"/>
    </w:rPr>
  </w:style>
  <w:style w:type="paragraph" w:styleId="1">
    <w:name w:val="heading 1"/>
    <w:basedOn w:val="a"/>
    <w:next w:val="a0"/>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2">
    <w:name w:val="heading 2"/>
    <w:basedOn w:val="a"/>
    <w:next w:val="a0"/>
    <w:qFormat/>
    <w:rsid w:val="00E10CDA"/>
    <w:pPr>
      <w:keepNext/>
      <w:keepLines/>
      <w:tabs>
        <w:tab w:val="num" w:pos="227"/>
      </w:tabs>
      <w:spacing w:before="120" w:after="60"/>
      <w:ind w:left="288" w:hanging="288"/>
      <w:jc w:val="left"/>
      <w:outlineLvl w:val="1"/>
    </w:pPr>
    <w:rPr>
      <w:i/>
      <w:iCs/>
      <w:lang w:eastAsia="en-US"/>
    </w:rPr>
  </w:style>
  <w:style w:type="paragraph" w:styleId="3">
    <w:name w:val="heading 3"/>
    <w:basedOn w:val="a"/>
    <w:next w:val="a0"/>
    <w:qFormat/>
    <w:rsid w:val="00E10CDA"/>
    <w:pPr>
      <w:tabs>
        <w:tab w:val="num" w:pos="425"/>
        <w:tab w:val="left" w:pos="540"/>
      </w:tabs>
      <w:spacing w:line="240" w:lineRule="exact"/>
      <w:ind w:firstLine="180"/>
      <w:jc w:val="both"/>
      <w:outlineLvl w:val="2"/>
    </w:pPr>
    <w:rPr>
      <w:i/>
      <w:iCs/>
      <w:lang w:eastAsia="en-US"/>
    </w:rPr>
  </w:style>
  <w:style w:type="paragraph" w:styleId="4">
    <w:name w:val="heading 4"/>
    <w:basedOn w:val="a"/>
    <w:next w:val="a0"/>
    <w:qFormat/>
    <w:rsid w:val="00E10CDA"/>
    <w:pPr>
      <w:tabs>
        <w:tab w:val="num" w:pos="630"/>
        <w:tab w:val="left" w:pos="720"/>
      </w:tabs>
      <w:spacing w:before="40" w:after="40"/>
      <w:ind w:firstLine="360"/>
      <w:jc w:val="both"/>
      <w:outlineLvl w:val="3"/>
    </w:pPr>
    <w:rPr>
      <w:i/>
      <w:iCs/>
      <w:lang w:eastAsia="en-US"/>
    </w:rPr>
  </w:style>
  <w:style w:type="paragraph" w:styleId="5">
    <w:name w:val="heading 5"/>
    <w:basedOn w:val="a"/>
    <w:next w:val="a0"/>
    <w:qFormat/>
    <w:rsid w:val="00E10CDA"/>
    <w:pPr>
      <w:tabs>
        <w:tab w:val="left" w:pos="360"/>
      </w:tabs>
      <w:spacing w:before="160" w:after="80"/>
      <w:outlineLvl w:val="4"/>
    </w:pPr>
    <w:rPr>
      <w:smallCaps/>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a"/>
    <w:next w:val="a0"/>
    <w:rsid w:val="00E10CDA"/>
    <w:pPr>
      <w:keepNext/>
      <w:spacing w:before="240" w:after="120"/>
    </w:pPr>
    <w:rPr>
      <w:rFonts w:ascii="Arial" w:eastAsia="DejaVu Sans" w:hAnsi="Arial" w:cs="Lohit Hindi"/>
      <w:sz w:val="28"/>
      <w:szCs w:val="28"/>
    </w:rPr>
  </w:style>
  <w:style w:type="paragraph" w:styleId="a0">
    <w:name w:val="Body Text"/>
    <w:basedOn w:val="a"/>
    <w:rsid w:val="00E10CDA"/>
    <w:pPr>
      <w:spacing w:after="6"/>
      <w:ind w:firstLine="288"/>
      <w:jc w:val="both"/>
    </w:pPr>
    <w:rPr>
      <w:spacing w:val="-1"/>
    </w:rPr>
  </w:style>
  <w:style w:type="paragraph" w:styleId="a4">
    <w:name w:val="List"/>
    <w:basedOn w:val="a0"/>
    <w:rsid w:val="00E10CDA"/>
    <w:rPr>
      <w:rFonts w:cs="Lohit Hindi"/>
    </w:rPr>
  </w:style>
  <w:style w:type="paragraph" w:styleId="a5">
    <w:name w:val="caption"/>
    <w:basedOn w:val="a"/>
    <w:qFormat/>
    <w:rsid w:val="00E10CDA"/>
    <w:pPr>
      <w:suppressLineNumbers/>
      <w:spacing w:before="120" w:after="120"/>
    </w:pPr>
    <w:rPr>
      <w:rFonts w:cs="Lohit Hindi"/>
      <w:i/>
      <w:iCs/>
      <w:sz w:val="24"/>
      <w:szCs w:val="24"/>
    </w:rPr>
  </w:style>
  <w:style w:type="paragraph" w:customStyle="1" w:styleId="Index">
    <w:name w:val="Index"/>
    <w:basedOn w:val="a"/>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a0"/>
    <w:rsid w:val="00E10CDA"/>
    <w:pPr>
      <w:tabs>
        <w:tab w:val="left" w:pos="648"/>
      </w:tabs>
      <w:ind w:left="648" w:hanging="360"/>
    </w:pPr>
  </w:style>
  <w:style w:type="paragraph" w:customStyle="1" w:styleId="equation">
    <w:name w:val="equation"/>
    <w:basedOn w:val="a"/>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a"/>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a0"/>
    <w:rsid w:val="00E10CDA"/>
  </w:style>
  <w:style w:type="paragraph" w:customStyle="1" w:styleId="TableContents">
    <w:name w:val="Table Contents"/>
    <w:basedOn w:val="a"/>
    <w:rsid w:val="00E10CDA"/>
    <w:pPr>
      <w:suppressLineNumbers/>
    </w:pPr>
  </w:style>
  <w:style w:type="paragraph" w:customStyle="1" w:styleId="TableHeading">
    <w:name w:val="Table Heading"/>
    <w:basedOn w:val="TableContents"/>
    <w:rsid w:val="00E10CDA"/>
    <w:rPr>
      <w:b/>
      <w:bCs/>
    </w:rPr>
  </w:style>
  <w:style w:type="paragraph" w:styleId="a6">
    <w:name w:val="Normal (Web)"/>
    <w:basedOn w:val="a"/>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a7">
    <w:name w:val="footnote text"/>
    <w:basedOn w:val="a"/>
    <w:link w:val="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Char">
    <w:name w:val="نص حاشية سفلية Char"/>
    <w:link w:val="a7"/>
    <w:uiPriority w:val="99"/>
    <w:semiHidden/>
    <w:rsid w:val="000C4416"/>
    <w:rPr>
      <w:rFonts w:ascii="Arial" w:hAnsi="Arial"/>
    </w:rPr>
  </w:style>
  <w:style w:type="character" w:styleId="a8">
    <w:name w:val="footnote reference"/>
    <w:uiPriority w:val="99"/>
    <w:semiHidden/>
    <w:rsid w:val="000C4416"/>
    <w:rPr>
      <w:rFonts w:cs="Times New Roman"/>
      <w:vertAlign w:val="superscript"/>
    </w:rPr>
  </w:style>
  <w:style w:type="paragraph" w:styleId="a9">
    <w:name w:val="header"/>
    <w:basedOn w:val="a"/>
    <w:link w:val="Char0"/>
    <w:uiPriority w:val="99"/>
    <w:unhideWhenUsed/>
    <w:rsid w:val="000C4416"/>
    <w:pPr>
      <w:tabs>
        <w:tab w:val="center" w:pos="4153"/>
        <w:tab w:val="right" w:pos="8306"/>
      </w:tabs>
    </w:pPr>
  </w:style>
  <w:style w:type="character" w:customStyle="1" w:styleId="Char0">
    <w:name w:val="رأس صفحة Char"/>
    <w:link w:val="a9"/>
    <w:uiPriority w:val="99"/>
    <w:rsid w:val="000C4416"/>
    <w:rPr>
      <w:rFonts w:eastAsia="SimSun"/>
      <w:lang w:eastAsia="zh-CN"/>
    </w:rPr>
  </w:style>
  <w:style w:type="paragraph" w:styleId="aa">
    <w:name w:val="footer"/>
    <w:basedOn w:val="a"/>
    <w:link w:val="Char1"/>
    <w:uiPriority w:val="99"/>
    <w:unhideWhenUsed/>
    <w:rsid w:val="000C4416"/>
    <w:pPr>
      <w:tabs>
        <w:tab w:val="center" w:pos="4153"/>
        <w:tab w:val="right" w:pos="8306"/>
      </w:tabs>
    </w:pPr>
  </w:style>
  <w:style w:type="character" w:customStyle="1" w:styleId="Char1">
    <w:name w:val="تذييل صفحة Char"/>
    <w:link w:val="aa"/>
    <w:uiPriority w:val="99"/>
    <w:rsid w:val="000C4416"/>
    <w:rPr>
      <w:rFonts w:eastAsia="SimSun"/>
      <w:lang w:eastAsia="zh-CN"/>
    </w:rPr>
  </w:style>
  <w:style w:type="table" w:styleId="ab">
    <w:name w:val="Table Grid"/>
    <w:basedOn w:val="a2"/>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سرد الفقرات1"/>
    <w:basedOn w:val="a"/>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B8D8-B1A5-4D8D-883F-0EA52B50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3115</Words>
  <Characters>17762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20836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cp:lastModifiedBy>
  <cp:revision>37</cp:revision>
  <cp:lastPrinted>2013-04-30T13:38:00Z</cp:lastPrinted>
  <dcterms:created xsi:type="dcterms:W3CDTF">2013-06-10T19:44:00Z</dcterms:created>
  <dcterms:modified xsi:type="dcterms:W3CDTF">2013-06-20T12:29:00Z</dcterms:modified>
</cp:coreProperties>
</file>