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BD1699" w:rsidP="00BD1699">
      <w:pPr>
        <w:pStyle w:val="papersubtitle"/>
        <w:bidi/>
        <w:rPr>
          <w:i/>
          <w:iCs/>
          <w:sz w:val="48"/>
          <w:szCs w:val="48"/>
          <w:rtl/>
        </w:rPr>
      </w:pPr>
      <w:r w:rsidRPr="00BD1699">
        <w:rPr>
          <w:rFonts w:hint="cs"/>
          <w:i/>
          <w:iCs/>
          <w:sz w:val="48"/>
          <w:szCs w:val="48"/>
          <w:rtl/>
        </w:rPr>
        <w:t>تقدُّم الفعل على الفاعل</w:t>
      </w:r>
    </w:p>
    <w:p w:rsidR="00FD7D36" w:rsidRDefault="000C4416" w:rsidP="00BB76FD">
      <w:pPr>
        <w:pStyle w:val="papersubtitle"/>
        <w:bidi/>
        <w:rPr>
          <w:rtl/>
        </w:rPr>
      </w:pPr>
      <w:r>
        <w:rPr>
          <w:rFonts w:hint="cs"/>
          <w:i/>
          <w:iCs/>
          <w:rtl/>
        </w:rPr>
        <w:t>بحث في</w:t>
      </w:r>
      <w:r w:rsidR="00D01C0B">
        <w:rPr>
          <w:rFonts w:hint="cs"/>
          <w:i/>
          <w:iCs/>
          <w:rtl/>
        </w:rPr>
        <w:t xml:space="preserve"> </w:t>
      </w:r>
      <w:r w:rsidR="00D01C0B">
        <w:rPr>
          <w:i/>
          <w:iCs/>
        </w:rPr>
        <w:t xml:space="preserve"> </w:t>
      </w:r>
      <w:r w:rsidR="00BB76FD">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4E6006">
      <w:pPr>
        <w:pStyle w:val="Author"/>
        <w:bidi/>
        <w:rPr>
          <w:rFonts w:eastAsia="Times New Roman"/>
          <w:lang w:bidi="ar-EG"/>
        </w:rPr>
      </w:pPr>
      <w:r>
        <w:rPr>
          <w:rFonts w:hint="cs"/>
          <w:i/>
          <w:iCs/>
          <w:rtl/>
        </w:rPr>
        <w:lastRenderedPageBreak/>
        <w:t>إعداد</w:t>
      </w:r>
      <w:r w:rsidR="00F90E05">
        <w:rPr>
          <w:rFonts w:hint="cs"/>
          <w:i/>
          <w:iCs/>
          <w:rtl/>
        </w:rPr>
        <w:t xml:space="preserve">/ </w:t>
      </w:r>
      <w:r w:rsidR="004E6006" w:rsidRPr="004E6006">
        <w:rPr>
          <w:rFonts w:hint="cs"/>
          <w:i/>
          <w:iCs/>
          <w:rtl/>
          <w:lang w:bidi="ar-EG"/>
        </w:rPr>
        <w:t>شادية بيومي حامد</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BB76FD">
      <w:pPr>
        <w:pStyle w:val="Affiliation"/>
        <w:bidi/>
      </w:pPr>
      <w:r>
        <w:rPr>
          <w:rFonts w:hint="cs"/>
          <w:i/>
          <w:iCs/>
          <w:rtl/>
        </w:rPr>
        <w:t xml:space="preserve">كلية </w:t>
      </w:r>
      <w:r w:rsidR="00BB76FD">
        <w:rPr>
          <w:rFonts w:hint="cs"/>
          <w:i/>
          <w:iCs/>
          <w:rtl/>
        </w:rPr>
        <w:t>العلوم الاسلامية</w:t>
      </w:r>
      <w:r w:rsidR="00BB76FD">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4E6006" w:rsidP="00D01C0B">
      <w:pPr>
        <w:pStyle w:val="Affiliation"/>
        <w:bidi/>
      </w:pPr>
      <w:r w:rsidRPr="004E6006">
        <w:rPr>
          <w:i/>
          <w:iCs/>
          <w:lang w:bidi="ar-EG"/>
        </w:rPr>
        <w:t>shadia@mediu.ws</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106461" w:rsidRDefault="00E5535F" w:rsidP="00BD1699">
      <w:pPr>
        <w:pStyle w:val="papersubtitle"/>
        <w:bidi/>
        <w:jc w:val="both"/>
        <w:rPr>
          <w:rFonts w:eastAsia="SimSun"/>
          <w:b/>
          <w:bCs/>
          <w:i/>
          <w:iCs/>
          <w:sz w:val="18"/>
          <w:szCs w:val="18"/>
          <w:rtl/>
          <w:lang w:eastAsia="zh-CN"/>
        </w:rPr>
      </w:pPr>
      <w:r w:rsidRPr="008031AA">
        <w:rPr>
          <w:rFonts w:eastAsia="SimSun" w:hint="cs"/>
          <w:b/>
          <w:bCs/>
          <w:i/>
          <w:iCs/>
          <w:sz w:val="18"/>
          <w:szCs w:val="18"/>
          <w:rtl/>
          <w:lang w:eastAsia="zh-CN"/>
        </w:rPr>
        <w:lastRenderedPageBreak/>
        <w:t>خلاصة</w:t>
      </w:r>
      <w:r w:rsidR="00FD7D36" w:rsidRPr="008031AA">
        <w:rPr>
          <w:rFonts w:eastAsia="SimSun"/>
          <w:b/>
          <w:bCs/>
          <w:i/>
          <w:iCs/>
          <w:sz w:val="18"/>
          <w:szCs w:val="18"/>
          <w:lang w:eastAsia="zh-CN"/>
        </w:rPr>
        <w:t>—</w:t>
      </w:r>
      <w:r w:rsidR="000C4416" w:rsidRPr="008031AA">
        <w:rPr>
          <w:rFonts w:eastAsia="SimSun" w:hint="cs"/>
          <w:b/>
          <w:bCs/>
          <w:i/>
          <w:iCs/>
          <w:sz w:val="18"/>
          <w:szCs w:val="18"/>
          <w:rtl/>
          <w:lang w:eastAsia="zh-CN"/>
        </w:rPr>
        <w:t xml:space="preserve">هذا البحث يبحث في </w:t>
      </w:r>
      <w:r w:rsidR="00BD1699" w:rsidRPr="002E037F">
        <w:rPr>
          <w:rFonts w:eastAsia="SimSun" w:hint="cs"/>
          <w:b/>
          <w:bCs/>
          <w:i/>
          <w:iCs/>
          <w:sz w:val="18"/>
          <w:szCs w:val="18"/>
          <w:rtl/>
          <w:lang w:eastAsia="zh-CN"/>
        </w:rPr>
        <w:t>تقدُّم الفعل على الفاعل</w:t>
      </w:r>
      <w:r w:rsidR="00D919B7" w:rsidRPr="00106461">
        <w:rPr>
          <w:rFonts w:eastAsia="SimSun" w:hint="cs"/>
          <w:b/>
          <w:bCs/>
          <w:i/>
          <w:iCs/>
          <w:sz w:val="18"/>
          <w:szCs w:val="18"/>
          <w:rtl/>
          <w:lang w:eastAsia="zh-CN"/>
        </w:rPr>
        <w:t>.</w:t>
      </w:r>
    </w:p>
    <w:p w:rsidR="00FD7D36" w:rsidRDefault="00E5535F" w:rsidP="00BD1699">
      <w:pPr>
        <w:pStyle w:val="keywords"/>
        <w:bidi/>
        <w:ind w:firstLine="180"/>
        <w:rPr>
          <w:rtl/>
        </w:rPr>
      </w:pPr>
      <w:r>
        <w:rPr>
          <w:rFonts w:hint="cs"/>
          <w:i/>
          <w:rtl/>
          <w:lang w:eastAsia="zh-CN"/>
        </w:rPr>
        <w:t>الكلمات المفتاحية</w:t>
      </w:r>
      <w:r w:rsidRPr="00455C43">
        <w:rPr>
          <w:rFonts w:hint="cs"/>
          <w:i/>
          <w:rtl/>
          <w:lang w:eastAsia="zh-CN"/>
        </w:rPr>
        <w:t xml:space="preserve">: </w:t>
      </w:r>
      <w:r w:rsidR="003B140B">
        <w:rPr>
          <w:rFonts w:hint="cs"/>
          <w:i/>
          <w:rtl/>
          <w:lang w:eastAsia="zh-CN"/>
        </w:rPr>
        <w:t>الفاعل، الخبر، الجملة</w:t>
      </w:r>
    </w:p>
    <w:p w:rsidR="00FD7D36" w:rsidRDefault="00DE155D" w:rsidP="002E0EFA">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085FA8" w:rsidRDefault="00AE5DD6" w:rsidP="003B140B">
      <w:pPr>
        <w:pStyle w:val="Abstract"/>
        <w:bidi/>
        <w:spacing w:after="0"/>
        <w:ind w:firstLine="173"/>
        <w:jc w:val="left"/>
        <w:rPr>
          <w:i/>
          <w:iCs/>
          <w:rtl/>
        </w:rPr>
      </w:pPr>
      <w:r>
        <w:rPr>
          <w:rFonts w:hint="cs"/>
          <w:rtl/>
          <w:lang w:eastAsia="en-US"/>
        </w:rPr>
        <w:t xml:space="preserve">معرفة </w:t>
      </w:r>
      <w:r w:rsidR="00444EE2" w:rsidRPr="00085FA8">
        <w:rPr>
          <w:rFonts w:hint="cs"/>
          <w:i/>
          <w:iCs/>
          <w:rtl/>
        </w:rPr>
        <w:t xml:space="preserve">أسس </w:t>
      </w:r>
      <w:r w:rsidR="008031AA" w:rsidRPr="008031AA">
        <w:rPr>
          <w:rFonts w:hint="cs"/>
          <w:i/>
          <w:iCs/>
          <w:rtl/>
        </w:rPr>
        <w:t xml:space="preserve"> </w:t>
      </w:r>
      <w:r w:rsidR="00BD1699" w:rsidRPr="002E037F">
        <w:rPr>
          <w:rFonts w:hint="cs"/>
          <w:i/>
          <w:iCs/>
          <w:rtl/>
        </w:rPr>
        <w:t>تقدُّم الفعل على الفاعل</w:t>
      </w:r>
      <w:r w:rsidR="003B140B">
        <w:rPr>
          <w:rFonts w:hint="cs"/>
          <w:i/>
          <w:iCs/>
          <w:rtl/>
        </w:rPr>
        <w:t xml:space="preserve">، </w:t>
      </w:r>
      <w:r w:rsidR="003B140B">
        <w:rPr>
          <w:rFonts w:hint="cs"/>
          <w:rtl/>
          <w:lang w:eastAsia="en-US"/>
        </w:rPr>
        <w:t>إ</w:t>
      </w:r>
      <w:r w:rsidR="003B140B" w:rsidRPr="00541975">
        <w:rPr>
          <w:rFonts w:hint="cs"/>
          <w:rtl/>
          <w:lang w:eastAsia="en-US"/>
        </w:rPr>
        <w:t>ن الاسم إذا تقدّم على الفعل جاز أن يُسند إلى غيره كما في قولنا: زيد قام أبوه، يعني في الأول قام زيد، قال أبو البقاء: "فإذا تقدم زيد جاز أن يُسند الفعل إلى غير زيد"، وإذا أعربنا قلنا: "زيد" مبتدأ مرفوع وعلامة رفعه الضمة الظاهرة، و"قام" فعل ماضٍ، و"أبوه" فاعل، والجملة المكونة من "قام أبوه" في محل رفع خبر زيد</w:t>
      </w:r>
      <w:r w:rsidR="00592A1C" w:rsidRPr="00085FA8">
        <w:rPr>
          <w:rFonts w:hint="cs"/>
          <w:i/>
          <w:iCs/>
          <w:rtl/>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541975" w:rsidRPr="00541975" w:rsidRDefault="00541975" w:rsidP="00541975">
      <w:pPr>
        <w:pStyle w:val="Abstract"/>
        <w:bidi/>
        <w:spacing w:after="0" w:line="240" w:lineRule="exact"/>
        <w:ind w:firstLine="173"/>
        <w:rPr>
          <w:rtl/>
          <w:lang w:eastAsia="en-US"/>
        </w:rPr>
      </w:pPr>
      <w:r w:rsidRPr="00541975">
        <w:rPr>
          <w:rFonts w:hint="cs"/>
          <w:rtl/>
          <w:lang w:eastAsia="en-US"/>
        </w:rPr>
        <w:t>قال أبو البقاء: "وإنما اشترط فيه أن يتقدّم الفعل عليه لأربعة أوجه:</w:t>
      </w:r>
    </w:p>
    <w:p w:rsidR="00541975" w:rsidRPr="00541975" w:rsidRDefault="00541975" w:rsidP="00541975">
      <w:pPr>
        <w:pStyle w:val="Abstract"/>
        <w:bidi/>
        <w:spacing w:after="0" w:line="240" w:lineRule="exact"/>
        <w:ind w:firstLine="173"/>
        <w:rPr>
          <w:lang w:eastAsia="en-US"/>
        </w:rPr>
      </w:pPr>
      <w:r w:rsidRPr="00541975">
        <w:rPr>
          <w:rFonts w:hint="cs"/>
          <w:rtl/>
          <w:lang w:eastAsia="en-US"/>
        </w:rPr>
        <w:t xml:space="preserve">الوجه الأول: أن الفاعل كجزء من الفعل، قال: "لِمَ نذكره بعد"، ثم قال: "ومحالٌ أن يتقدم جزء الشيء عليه"؛ إذن هذا هو الوجه الأول في تقديم الفعل كشرط؛ لكي يكون ما بعده فاعلًا، أن الفاعل كجزء من الفعل، ولن يتقدّم الجزء على جزئه؛ إذن المسألة مسألة ترتيب، يأتي الفعل أولًا، ثم يأتي من بعده الفاعل وهو جزؤه، وجزء الشيء لا يتقدّم عليه. </w:t>
      </w:r>
    </w:p>
    <w:p w:rsidR="00541975" w:rsidRPr="00541975" w:rsidRDefault="00541975" w:rsidP="00541975">
      <w:pPr>
        <w:pStyle w:val="Abstract"/>
        <w:bidi/>
        <w:spacing w:after="0" w:line="240" w:lineRule="exact"/>
        <w:ind w:firstLine="173"/>
        <w:rPr>
          <w:lang w:eastAsia="en-US"/>
        </w:rPr>
      </w:pPr>
      <w:r w:rsidRPr="00541975">
        <w:rPr>
          <w:rFonts w:hint="cs"/>
          <w:rtl/>
          <w:lang w:eastAsia="en-US"/>
        </w:rPr>
        <w:t xml:space="preserve">الوجه الثاني: أن كونه فاعلًا لا يتصوّر حقيقة إلا بعد صدور الفعل منه، يعني: وهذا وجه وربما يكون لنا فيه كلام واعتراض، أبو البقاء يرى أن قول "قام زيد" لا يتصوّر هذا المعنى إلا بهذا النظم، فإن قلت: زيد قام، فلا يتصوّر أن زيد قام، هل يفكر في ذلك إنسان؟ إن المعنى واحد لكن بناء الجملة مختلف، قام زيد يفهم الناس منه أن زيدًا قام، زيد قام يفهم الناس منه أن زيدًا قام، ولكن بناء الجملة على الاسم خلاف بناء الجملة على الفعل، أبو البقاء يصر على أن المعنى لا يُتصور إلا إذا تقدم الفعل على الفاعل، ولسنا معه هنا. </w:t>
      </w:r>
    </w:p>
    <w:p w:rsidR="00541975" w:rsidRPr="00541975" w:rsidRDefault="00541975" w:rsidP="00541975">
      <w:pPr>
        <w:pStyle w:val="Abstract"/>
        <w:bidi/>
        <w:spacing w:after="0" w:line="240" w:lineRule="exact"/>
        <w:ind w:firstLine="173"/>
        <w:rPr>
          <w:lang w:eastAsia="en-US"/>
        </w:rPr>
      </w:pPr>
      <w:r w:rsidRPr="00541975">
        <w:rPr>
          <w:rFonts w:hint="cs"/>
          <w:rtl/>
          <w:lang w:eastAsia="en-US"/>
        </w:rPr>
        <w:t xml:space="preserve">الوجه الثالث: أن الاسم إذا تقدّم على الفعل جاز أن يُسند إلى غيره كما في قولنا: زيد قام أبوه، يعني في الأول قام زيد، قال أبو البقاء: "فإذا تقدم زيد جاز أن يُسند الفعل إلى غير زيد"، وإذا أعربنا قلنا: "زيد" مبتدأ مرفوع وعلامة رفعه الضمة الظاهرة، و"قام" فعل ماضٍ، و"أبوه" فاعل، والجملة المكونة من "قام أبوه" في محل رفع خبر زيد. </w:t>
      </w:r>
    </w:p>
    <w:p w:rsidR="00541975" w:rsidRPr="00541975" w:rsidRDefault="00541975" w:rsidP="00541975">
      <w:pPr>
        <w:pStyle w:val="Abstract"/>
        <w:bidi/>
        <w:spacing w:after="0" w:line="240" w:lineRule="exact"/>
        <w:ind w:firstLine="173"/>
        <w:rPr>
          <w:lang w:eastAsia="en-US"/>
        </w:rPr>
      </w:pPr>
      <w:r w:rsidRPr="00541975">
        <w:rPr>
          <w:rFonts w:hint="cs"/>
          <w:rtl/>
          <w:lang w:eastAsia="en-US"/>
        </w:rPr>
        <w:t xml:space="preserve">قال أبو البقاء: "وليس كذلك إذا تقدّم عليه"، ولنا مناقشة هنا، يحاول أبو البقاء أن يوهمنا بأن تقديم الاسم على الفعل ممنوع؛ لأنَّ الاسم إذا تقدّم جاز أن يسند الفعل إلى غيره، هذا كلام يحتاج إلى إعادة نظر؛ لأنا إذا قلنا: "قام زيد" أسندنا القيام إلى زيد، وإذا قلنا: "زيد قام" أسندنا القيام إلى زيد أيضًا، فإذا قلنا: "زيد قام أبوه" أسندنا القيام إلى أبيه، وهذا مراد مطلوب لم يتسبّب من تقديم زيد على قام، إنَّما الذي بنى العبارة بناها على أن الذي قام هو أبو زيد، وليس بسبب أن زيدًا تقدّم على قام، فأُسند الفعل إلى غيره، وإلا فسدت اللغة برمّتها، وقلنا: احذروا أن تقدّموا الأسماء على الأفعال فإنها لو تقدّم عليها لجاز إسنادها إلى غير هذه الأسماء، هذا غير معقول، إن الذي يريد إسناد القيام إلى زيد أمامه سبيلان: إما أن يسنده باعتبار الفاعلية للاسم الظاهر الذي هو زيد، وإما أن يسنده باعتبار الفاعلية إلى ضمير المقدّم، يعني زيد قام،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مبتدأ، و</w:t>
      </w:r>
      <w:r w:rsidRPr="00541975">
        <w:rPr>
          <w:rtl/>
          <w:lang w:eastAsia="en-US"/>
        </w:rPr>
        <w:t>"</w:t>
      </w:r>
      <w:r w:rsidRPr="00541975">
        <w:rPr>
          <w:rFonts w:hint="cs"/>
          <w:rtl/>
          <w:lang w:eastAsia="en-US"/>
        </w:rPr>
        <w:t>قام</w:t>
      </w:r>
      <w:r w:rsidRPr="00541975">
        <w:rPr>
          <w:rtl/>
          <w:lang w:eastAsia="en-US"/>
        </w:rPr>
        <w:t>"</w:t>
      </w:r>
      <w:r w:rsidRPr="00541975">
        <w:rPr>
          <w:rFonts w:hint="cs"/>
          <w:rtl/>
          <w:lang w:eastAsia="en-US"/>
        </w:rPr>
        <w:t xml:space="preserve"> فعل ماضٍ، والفاعل مستتر تقديره هو يعود على زيد. </w:t>
      </w:r>
    </w:p>
    <w:p w:rsidR="00541975" w:rsidRPr="00541975" w:rsidRDefault="00541975" w:rsidP="00541975">
      <w:pPr>
        <w:pStyle w:val="Abstract"/>
        <w:bidi/>
        <w:spacing w:after="0" w:line="240" w:lineRule="exact"/>
        <w:ind w:firstLine="173"/>
        <w:rPr>
          <w:rtl/>
          <w:lang w:eastAsia="en-US"/>
        </w:rPr>
      </w:pPr>
      <w:r w:rsidRPr="00541975">
        <w:rPr>
          <w:rFonts w:hint="cs"/>
          <w:rtl/>
          <w:lang w:eastAsia="en-US"/>
        </w:rPr>
        <w:t xml:space="preserve">إذن هناك إثبات للقيام إثبات يقتضي أن زيدًا قام، ولكن -ولكن ماذا؟- كما قال العلماء من قديم: إن قولك: زيد قام. أبلغ وآكد من قولك: قام زيد، وكأن سائلًا سألهم، وقال: </w:t>
      </w:r>
      <w:r w:rsidRPr="00541975">
        <w:rPr>
          <w:rFonts w:hint="cs"/>
          <w:rtl/>
          <w:lang w:eastAsia="en-US"/>
        </w:rPr>
        <w:lastRenderedPageBreak/>
        <w:t xml:space="preserve">لماذا؟ فأجابوا وقالوا: لأن قولك قام زيد. فيه إسناد الفعل إلى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مرة واحدة، ولكنك حين قلت: "زيد قام" تكون كأنك أثبتّ القيام إلى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مرتين: مرة بأن ذكرت زيد في بداية الجملة، ومرة بضميره الذي هو فاعل قام، فكأنك قلت: قام زيد قام زيد، وذلك بإسناد الفعل إلى زيد كقضية مفهومة زيد قام، ومن حيث الصناعة النحوية قام هو، فالفاعل ضمير يعود على زيد، فيكون هذا من باب التوكيد، هكذا نقول لأبي البقاء: ليس معنى أنَّ الاسم إذا تقدّم أن فعله يسند إلى غيره، ولكن المتحدّث أراد إسناد القيام إلى أبي زيد، هو يقصد ذلك بدليل أننا لا نستطيع أن نقول: "قام زيد أبوه" إلا على هذا المعنى.</w:t>
      </w:r>
    </w:p>
    <w:p w:rsidR="00541975" w:rsidRPr="00541975" w:rsidRDefault="00541975" w:rsidP="00541975">
      <w:pPr>
        <w:pStyle w:val="Abstract"/>
        <w:bidi/>
        <w:spacing w:after="0" w:line="240" w:lineRule="exact"/>
        <w:ind w:firstLine="173"/>
        <w:rPr>
          <w:lang w:eastAsia="en-US"/>
        </w:rPr>
      </w:pPr>
      <w:r w:rsidRPr="00541975">
        <w:rPr>
          <w:rFonts w:hint="cs"/>
          <w:rtl/>
          <w:lang w:eastAsia="en-US"/>
        </w:rPr>
        <w:t>فإذا قلنا: قام زيد فقد أسندنا القيام إلى زيد، لكن لا نقصد زيدًا، وإنَّما قصدنا أباه، فقلنا: قام زيد أبوه، فأصبح زيد فاعلًا من حيث الصورة اللفظية، وأبوه بدل:</w:t>
      </w:r>
    </w:p>
    <w:tbl>
      <w:tblPr>
        <w:bidiVisual/>
        <w:tblW w:w="0" w:type="auto"/>
        <w:jc w:val="center"/>
        <w:tblLook w:val="01E0"/>
      </w:tblPr>
      <w:tblGrid>
        <w:gridCol w:w="2332"/>
        <w:gridCol w:w="603"/>
        <w:gridCol w:w="2317"/>
      </w:tblGrid>
      <w:tr w:rsidR="00541975" w:rsidRPr="00541975" w:rsidTr="00D9392F">
        <w:trPr>
          <w:trHeight w:hRule="exact" w:val="234"/>
          <w:jc w:val="center"/>
        </w:trPr>
        <w:tc>
          <w:tcPr>
            <w:tcW w:w="2909" w:type="dxa"/>
            <w:vAlign w:val="center"/>
          </w:tcPr>
          <w:p w:rsidR="00541975" w:rsidRPr="00541975" w:rsidRDefault="00541975" w:rsidP="00541975">
            <w:pPr>
              <w:pStyle w:val="Abstract"/>
              <w:bidi/>
              <w:spacing w:after="0" w:line="240" w:lineRule="exact"/>
              <w:ind w:firstLine="173"/>
              <w:rPr>
                <w:lang w:eastAsia="en-US"/>
              </w:rPr>
            </w:pPr>
            <w:r w:rsidRPr="00541975">
              <w:rPr>
                <w:rFonts w:hint="cs"/>
                <w:rtl/>
                <w:lang w:eastAsia="en-US"/>
              </w:rPr>
              <w:t>والتَّابِعُ المَقصُودُ بِالحُكمِ بِل</w:t>
            </w:r>
            <w:r w:rsidRPr="00541975">
              <w:rPr>
                <w:rtl/>
                <w:lang w:eastAsia="en-US"/>
              </w:rPr>
              <w:br/>
            </w:r>
          </w:p>
        </w:tc>
        <w:tc>
          <w:tcPr>
            <w:tcW w:w="709" w:type="dxa"/>
            <w:vAlign w:val="center"/>
          </w:tcPr>
          <w:p w:rsidR="00541975" w:rsidRPr="00541975" w:rsidRDefault="00541975" w:rsidP="00541975">
            <w:pPr>
              <w:pStyle w:val="Abstract"/>
              <w:bidi/>
              <w:spacing w:after="0" w:line="240" w:lineRule="exact"/>
              <w:ind w:firstLine="173"/>
              <w:rPr>
                <w:rtl/>
                <w:lang w:eastAsia="en-US"/>
              </w:rPr>
            </w:pPr>
            <w:r w:rsidRPr="00541975">
              <w:rPr>
                <w:rFonts w:hint="cs"/>
                <w:rtl/>
                <w:lang w:eastAsia="en-US"/>
              </w:rPr>
              <w:t>*</w:t>
            </w:r>
          </w:p>
        </w:tc>
        <w:tc>
          <w:tcPr>
            <w:tcW w:w="2909" w:type="dxa"/>
            <w:vAlign w:val="center"/>
          </w:tcPr>
          <w:p w:rsidR="00541975" w:rsidRPr="00541975" w:rsidRDefault="00541975" w:rsidP="00541975">
            <w:pPr>
              <w:pStyle w:val="Abstract"/>
              <w:bidi/>
              <w:spacing w:after="0" w:line="240" w:lineRule="exact"/>
              <w:ind w:firstLine="173"/>
              <w:rPr>
                <w:lang w:eastAsia="en-US"/>
              </w:rPr>
            </w:pPr>
            <w:r w:rsidRPr="00541975">
              <w:rPr>
                <w:rFonts w:hint="cs"/>
                <w:rtl/>
                <w:lang w:eastAsia="en-US"/>
              </w:rPr>
              <w:t>وَاسِطَةٍ هُوَ المُسَمَّى بَدَل</w:t>
            </w:r>
            <w:r w:rsidRPr="00541975">
              <w:rPr>
                <w:rtl/>
                <w:lang w:eastAsia="en-US"/>
              </w:rPr>
              <w:br/>
            </w:r>
          </w:p>
        </w:tc>
      </w:tr>
    </w:tbl>
    <w:p w:rsidR="00541975" w:rsidRPr="00541975" w:rsidRDefault="00541975" w:rsidP="00541975">
      <w:pPr>
        <w:pStyle w:val="Abstract"/>
        <w:bidi/>
        <w:spacing w:after="0" w:line="240" w:lineRule="exact"/>
        <w:ind w:firstLine="173"/>
        <w:rPr>
          <w:lang w:eastAsia="en-US"/>
        </w:rPr>
      </w:pPr>
      <w:r w:rsidRPr="00541975">
        <w:rPr>
          <w:rFonts w:hint="cs"/>
          <w:rtl/>
          <w:lang w:eastAsia="en-US"/>
        </w:rPr>
        <w:t xml:space="preserve">فالمقصود بالحكم أبوه، إذا تقدم عليه زيد في قولنا: قام زيد أبوه فزيد توطئة وتمهيد، لكن ليس مرادًا، فإذا قدمنا وقلنا: زيدٌ صار مبتدأ، وقام أبوه أسند القيام إلى أبيه، والجملة برمتها مسندة إلى زيد. </w:t>
      </w:r>
    </w:p>
    <w:p w:rsidR="000E2248" w:rsidRPr="00183A81" w:rsidRDefault="00541975" w:rsidP="00541975">
      <w:pPr>
        <w:pStyle w:val="Abstract"/>
        <w:bidi/>
        <w:spacing w:after="0" w:line="240" w:lineRule="exact"/>
        <w:ind w:firstLine="173"/>
        <w:rPr>
          <w:rtl/>
          <w:lang w:eastAsia="en-US"/>
        </w:rPr>
      </w:pPr>
      <w:r w:rsidRPr="00541975">
        <w:rPr>
          <w:rFonts w:hint="cs"/>
          <w:rtl/>
          <w:lang w:eastAsia="en-US"/>
        </w:rPr>
        <w:t>الوجه الرابع: أن الفاعل لو جاز أن يتقدّم على الفعل لم يحتج إلى ضمير تثنية ولا إلى جمع، أي أنه لو جاز أن يتقدم على الفعل في نحو: قام الزيدان؛ إذن نقول: "الزيدان قام" هذا مراد أبي البقاء، لكن لا نقول ذلك، وإنما نقول: "الزيدان قاما"؛ إذن احتاج الفعل إلى ألف الاثنين بعد أن تقدم الفاعل الذي صار مبتدأ على الخلاف الطويل، كذلك الزيدون، تقول: الزيدون قاموا، ولا تقول: الزيدون قام؛ إذن الفعل يحتاج إلى واو الجماعة التي تعود على الزيدين أو على الزيدون على الحكاية.</w:t>
      </w:r>
    </w:p>
    <w:p w:rsidR="00006F7B" w:rsidRPr="00A44522" w:rsidRDefault="007345A3" w:rsidP="00A44522">
      <w:pPr>
        <w:pStyle w:val="1"/>
        <w:tabs>
          <w:tab w:val="clear" w:pos="0"/>
        </w:tabs>
        <w:bidi/>
        <w:ind w:firstLine="0"/>
        <w:rPr>
          <w:rtl/>
        </w:rPr>
      </w:pPr>
      <w:r>
        <w:rPr>
          <w:rFonts w:hint="cs"/>
          <w:rtl/>
        </w:rPr>
        <w:t>المراجع والمصادر</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13785"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13785"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BCA" w:rsidRDefault="004B2BCA" w:rsidP="000C4416">
      <w:r>
        <w:separator/>
      </w:r>
    </w:p>
  </w:endnote>
  <w:endnote w:type="continuationSeparator" w:id="1">
    <w:p w:rsidR="004B2BCA" w:rsidRDefault="004B2BCA"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BCA" w:rsidRDefault="004B2BCA" w:rsidP="000C4416">
      <w:r>
        <w:separator/>
      </w:r>
    </w:p>
  </w:footnote>
  <w:footnote w:type="continuationSeparator" w:id="1">
    <w:p w:rsidR="004B2BCA" w:rsidRDefault="004B2BCA"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15C16"/>
    <w:rsid w:val="00063648"/>
    <w:rsid w:val="0007783C"/>
    <w:rsid w:val="00085FA8"/>
    <w:rsid w:val="00097F14"/>
    <w:rsid w:val="000C212C"/>
    <w:rsid w:val="000C4416"/>
    <w:rsid w:val="000E2248"/>
    <w:rsid w:val="00100A21"/>
    <w:rsid w:val="00106461"/>
    <w:rsid w:val="001677B7"/>
    <w:rsid w:val="00172029"/>
    <w:rsid w:val="0017791D"/>
    <w:rsid w:val="00180355"/>
    <w:rsid w:val="001835BD"/>
    <w:rsid w:val="00183A81"/>
    <w:rsid w:val="00197B5F"/>
    <w:rsid w:val="001B1FA5"/>
    <w:rsid w:val="001C5A2C"/>
    <w:rsid w:val="00251720"/>
    <w:rsid w:val="00264CF8"/>
    <w:rsid w:val="00265FEB"/>
    <w:rsid w:val="00276E36"/>
    <w:rsid w:val="002829CC"/>
    <w:rsid w:val="0029290A"/>
    <w:rsid w:val="00297415"/>
    <w:rsid w:val="002E037F"/>
    <w:rsid w:val="002E0EFA"/>
    <w:rsid w:val="003427BB"/>
    <w:rsid w:val="003B140B"/>
    <w:rsid w:val="003B5B7D"/>
    <w:rsid w:val="00413785"/>
    <w:rsid w:val="00414299"/>
    <w:rsid w:val="00444EE2"/>
    <w:rsid w:val="00455953"/>
    <w:rsid w:val="00455C43"/>
    <w:rsid w:val="00461F7F"/>
    <w:rsid w:val="0046344E"/>
    <w:rsid w:val="0046422F"/>
    <w:rsid w:val="0047261F"/>
    <w:rsid w:val="00477ECE"/>
    <w:rsid w:val="0048563C"/>
    <w:rsid w:val="004A6804"/>
    <w:rsid w:val="004B0223"/>
    <w:rsid w:val="004B2BCA"/>
    <w:rsid w:val="004C477E"/>
    <w:rsid w:val="004C5EF3"/>
    <w:rsid w:val="004D5C5D"/>
    <w:rsid w:val="004E6006"/>
    <w:rsid w:val="004F55BA"/>
    <w:rsid w:val="0052167A"/>
    <w:rsid w:val="00531265"/>
    <w:rsid w:val="00541975"/>
    <w:rsid w:val="005648FF"/>
    <w:rsid w:val="00575264"/>
    <w:rsid w:val="00582DC7"/>
    <w:rsid w:val="00592A1C"/>
    <w:rsid w:val="005A0FF9"/>
    <w:rsid w:val="005A3FD3"/>
    <w:rsid w:val="00614F38"/>
    <w:rsid w:val="006226AB"/>
    <w:rsid w:val="00626F1D"/>
    <w:rsid w:val="00680242"/>
    <w:rsid w:val="00680673"/>
    <w:rsid w:val="0068453B"/>
    <w:rsid w:val="006F0791"/>
    <w:rsid w:val="00713EA5"/>
    <w:rsid w:val="0072481B"/>
    <w:rsid w:val="00732C8F"/>
    <w:rsid w:val="007345A3"/>
    <w:rsid w:val="007769D6"/>
    <w:rsid w:val="00793A54"/>
    <w:rsid w:val="007C4E09"/>
    <w:rsid w:val="008031AA"/>
    <w:rsid w:val="00821F7F"/>
    <w:rsid w:val="008828E0"/>
    <w:rsid w:val="00950E8D"/>
    <w:rsid w:val="00952931"/>
    <w:rsid w:val="009A452E"/>
    <w:rsid w:val="00A05529"/>
    <w:rsid w:val="00A204D0"/>
    <w:rsid w:val="00A32398"/>
    <w:rsid w:val="00A44522"/>
    <w:rsid w:val="00A5227F"/>
    <w:rsid w:val="00A628ED"/>
    <w:rsid w:val="00A71A81"/>
    <w:rsid w:val="00A7496D"/>
    <w:rsid w:val="00AC2A88"/>
    <w:rsid w:val="00AE5DD6"/>
    <w:rsid w:val="00B16CCA"/>
    <w:rsid w:val="00B5552B"/>
    <w:rsid w:val="00B67BC9"/>
    <w:rsid w:val="00B96CE5"/>
    <w:rsid w:val="00BA14B1"/>
    <w:rsid w:val="00BB76FD"/>
    <w:rsid w:val="00BD1699"/>
    <w:rsid w:val="00C02025"/>
    <w:rsid w:val="00C96D4C"/>
    <w:rsid w:val="00CB4B1B"/>
    <w:rsid w:val="00CC6452"/>
    <w:rsid w:val="00CE7BBC"/>
    <w:rsid w:val="00D01C0B"/>
    <w:rsid w:val="00D17F47"/>
    <w:rsid w:val="00D262D8"/>
    <w:rsid w:val="00D43318"/>
    <w:rsid w:val="00D4340B"/>
    <w:rsid w:val="00D66F53"/>
    <w:rsid w:val="00D768DB"/>
    <w:rsid w:val="00D919B7"/>
    <w:rsid w:val="00D9392F"/>
    <w:rsid w:val="00DE155D"/>
    <w:rsid w:val="00DF6E09"/>
    <w:rsid w:val="00DF7A48"/>
    <w:rsid w:val="00E10CDA"/>
    <w:rsid w:val="00E42342"/>
    <w:rsid w:val="00E45FDD"/>
    <w:rsid w:val="00E517E0"/>
    <w:rsid w:val="00E5535F"/>
    <w:rsid w:val="00E72D31"/>
    <w:rsid w:val="00EE6F64"/>
    <w:rsid w:val="00F51C8F"/>
    <w:rsid w:val="00F52E5A"/>
    <w:rsid w:val="00F718C2"/>
    <w:rsid w:val="00F750A7"/>
    <w:rsid w:val="00F90E05"/>
    <w:rsid w:val="00F942CD"/>
    <w:rsid w:val="00FA3409"/>
    <w:rsid w:val="00FD092A"/>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38</cp:revision>
  <cp:lastPrinted>2013-04-30T13:38:00Z</cp:lastPrinted>
  <dcterms:created xsi:type="dcterms:W3CDTF">2013-06-10T19:44:00Z</dcterms:created>
  <dcterms:modified xsi:type="dcterms:W3CDTF">2013-06-20T12:56:00Z</dcterms:modified>
</cp:coreProperties>
</file>