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60" w:rsidRDefault="00A62B60" w:rsidP="00101652">
      <w:pPr>
        <w:spacing w:before="60"/>
        <w:jc w:val="center"/>
        <w:rPr>
          <w:i/>
          <w:iCs/>
          <w:sz w:val="48"/>
          <w:szCs w:val="48"/>
          <w:rtl/>
        </w:rPr>
      </w:pPr>
      <w:r w:rsidRPr="00101652">
        <w:rPr>
          <w:i/>
          <w:iCs/>
          <w:sz w:val="48"/>
          <w:szCs w:val="48"/>
          <w:rtl/>
        </w:rPr>
        <w:t>احتكاك المدرستين عن طريق المناظرات النحوية</w:t>
      </w:r>
    </w:p>
    <w:p w:rsidR="00A62B60" w:rsidRPr="00294A2D" w:rsidRDefault="00A62B60" w:rsidP="00101652">
      <w:pPr>
        <w:jc w:val="center"/>
        <w:rPr>
          <w:i/>
          <w:iCs/>
          <w:sz w:val="28"/>
          <w:szCs w:val="28"/>
          <w:rtl/>
        </w:rPr>
      </w:pPr>
      <w:r w:rsidRPr="00294A2D">
        <w:rPr>
          <w:i/>
          <w:iCs/>
          <w:sz w:val="28"/>
          <w:szCs w:val="28"/>
          <w:rtl/>
        </w:rPr>
        <w:t>بحث  فى</w:t>
      </w:r>
      <w:r>
        <w:rPr>
          <w:i/>
          <w:iCs/>
          <w:sz w:val="28"/>
          <w:szCs w:val="28"/>
          <w:rtl/>
        </w:rPr>
        <w:t>:</w:t>
      </w:r>
      <w:r w:rsidRPr="00294A2D">
        <w:rPr>
          <w:i/>
          <w:iCs/>
          <w:sz w:val="28"/>
          <w:szCs w:val="28"/>
          <w:rtl/>
        </w:rPr>
        <w:t xml:space="preserve">  اصول النحو</w:t>
      </w:r>
    </w:p>
    <w:p w:rsidR="00A62B60" w:rsidRPr="00294A2D" w:rsidRDefault="00A62B60" w:rsidP="001714C1">
      <w:pPr>
        <w:jc w:val="center"/>
        <w:rPr>
          <w:sz w:val="22"/>
          <w:szCs w:val="22"/>
        </w:rPr>
      </w:pPr>
      <w:r w:rsidRPr="00294A2D">
        <w:rPr>
          <w:sz w:val="22"/>
          <w:szCs w:val="22"/>
          <w:rtl/>
        </w:rPr>
        <w:t xml:space="preserve">إعداد أ/ </w:t>
      </w:r>
      <w:r w:rsidR="001714C1" w:rsidRPr="001714C1">
        <w:rPr>
          <w:rFonts w:hint="cs"/>
          <w:i/>
          <w:iCs/>
          <w:sz w:val="22"/>
          <w:szCs w:val="22"/>
          <w:rtl/>
        </w:rPr>
        <w:t>د. وليد علي الطنطاوي</w:t>
      </w:r>
    </w:p>
    <w:p w:rsidR="00A62B60" w:rsidRPr="0089766D" w:rsidRDefault="00A62B60" w:rsidP="00101652">
      <w:pPr>
        <w:jc w:val="center"/>
        <w:rPr>
          <w:i/>
          <w:iCs/>
          <w:sz w:val="20"/>
          <w:szCs w:val="20"/>
        </w:rPr>
      </w:pPr>
      <w:r w:rsidRPr="0089766D">
        <w:rPr>
          <w:i/>
          <w:iCs/>
          <w:sz w:val="20"/>
          <w:szCs w:val="20"/>
          <w:rtl/>
        </w:rPr>
        <w:t>قسم اللغة العربية</w:t>
      </w:r>
    </w:p>
    <w:p w:rsidR="00A62B60" w:rsidRPr="0089766D" w:rsidRDefault="00A62B60" w:rsidP="00101652">
      <w:pPr>
        <w:jc w:val="center"/>
        <w:rPr>
          <w:i/>
          <w:iCs/>
          <w:sz w:val="20"/>
          <w:szCs w:val="20"/>
        </w:rPr>
      </w:pPr>
      <w:r w:rsidRPr="0089766D">
        <w:rPr>
          <w:i/>
          <w:iCs/>
          <w:sz w:val="20"/>
          <w:szCs w:val="20"/>
          <w:rtl/>
        </w:rPr>
        <w:t>كلية اللغات – جامعة المدينة العالمية</w:t>
      </w:r>
    </w:p>
    <w:p w:rsidR="00A62B60" w:rsidRPr="0089766D" w:rsidRDefault="00A62B60" w:rsidP="00101652">
      <w:pPr>
        <w:jc w:val="center"/>
        <w:rPr>
          <w:i/>
          <w:iCs/>
          <w:sz w:val="20"/>
          <w:szCs w:val="20"/>
          <w:rtl/>
        </w:rPr>
      </w:pPr>
      <w:r w:rsidRPr="0089766D">
        <w:rPr>
          <w:i/>
          <w:iCs/>
          <w:sz w:val="20"/>
          <w:szCs w:val="20"/>
          <w:rtl/>
        </w:rPr>
        <w:t>شاه علم – ماليزيا</w:t>
      </w:r>
    </w:p>
    <w:p w:rsidR="00A62B60" w:rsidRPr="0089766D" w:rsidRDefault="001714C1" w:rsidP="00101652">
      <w:pPr>
        <w:jc w:val="center"/>
        <w:rPr>
          <w:i/>
          <w:iCs/>
          <w:sz w:val="20"/>
          <w:szCs w:val="20"/>
        </w:rPr>
      </w:pPr>
      <w:r w:rsidRPr="001714C1">
        <w:rPr>
          <w:i/>
          <w:iCs/>
          <w:sz w:val="20"/>
          <w:szCs w:val="20"/>
        </w:rPr>
        <w:t>waleed.eltantawy@mediu.edu.my</w:t>
      </w:r>
    </w:p>
    <w:p w:rsidR="00A62B60" w:rsidRDefault="00A62B60" w:rsidP="00101652">
      <w:pPr>
        <w:jc w:val="center"/>
        <w:rPr>
          <w:sz w:val="32"/>
          <w:szCs w:val="32"/>
          <w:rtl/>
        </w:rPr>
      </w:pPr>
    </w:p>
    <w:p w:rsidR="00A62B60" w:rsidRDefault="00A62B60" w:rsidP="00101652">
      <w:pPr>
        <w:spacing w:before="60"/>
        <w:rPr>
          <w:b/>
          <w:bCs/>
          <w:sz w:val="18"/>
          <w:szCs w:val="18"/>
          <w:rtl/>
        </w:rPr>
        <w:sectPr w:rsidR="00A62B60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A62B60" w:rsidRPr="00101652" w:rsidRDefault="00A62B60" w:rsidP="00101652">
      <w:pPr>
        <w:spacing w:before="60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</w:rPr>
        <w:lastRenderedPageBreak/>
        <w:t>خلاصة  -- هذا البحث يبحث في احتكاك المدرستين عن طريق المناظرات النحوية</w:t>
      </w:r>
    </w:p>
    <w:p w:rsidR="00A62B60" w:rsidRPr="00101652" w:rsidRDefault="00A62B60" w:rsidP="00101652">
      <w:pPr>
        <w:spacing w:after="120"/>
        <w:jc w:val="lowKashida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</w:rPr>
        <w:t>الكلمات المفتاحية : الخلاف والاختلاف ،القدرة على التفكير ، فطر الناس</w:t>
      </w:r>
    </w:p>
    <w:p w:rsidR="00A62B60" w:rsidRPr="00101652" w:rsidRDefault="00A62B60" w:rsidP="00101652">
      <w:pPr>
        <w:pStyle w:val="a4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</w:rPr>
        <w:t>المقدمة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احتكاك المدرستين عن طريق المناظرات النحوية</w:t>
      </w:r>
    </w:p>
    <w:p w:rsidR="00A62B60" w:rsidRPr="00101652" w:rsidRDefault="00A62B60" w:rsidP="00101652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</w:rPr>
        <w:t>عنوان المقال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إن الاختلاف في الآراء ووجهات النظر أمر من لوازم الطبيعة الإنسانية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جعله الله بين بني البشر، فالقدرة على التفكير، وكيفية معالجة الأمور، ودرجة استيعاب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العقول، والفطنة في استنباط الأدلة، كل هذه الأمور متفاوتة عند بني الإنسان. لذلك كان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لا بد من الخلاف والاختلاف، وتلك فطرة الله التي فطر الناس عليها. ومن هنا كان من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الأمور الطبيعية أن يحدث الخلاف والاحتكاك بين علماء البصرة وعلماء الكوفة، بل كان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يحدث أحيانا بين علماء المدرسة الواحدة، والذي يعنينا هنا أن نلقي الضوء على مسألة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خلافية مشهورة في تاريخ النحو العربي، وهي التي تُسمى المسألة الزنبورية، وهي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توضح لنا صورة من صور التنافس بين المدرستين الكبريين، وهما مدرسة البصرة ومدرسة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الكوفة، ويمثل كل مدرسة منهما رئيسها، وأعني بهما: سيبويه رئيس مدرسة البصرة، والكسائي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رئيس مدرسة الكوفة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والمسألة الزنبورية هي المسألة التاسعة والتسعون في كتاب</w:t>
      </w:r>
      <w:r w:rsidRPr="00101652">
        <w:rPr>
          <w:b/>
          <w:bCs/>
          <w:sz w:val="18"/>
          <w:szCs w:val="18"/>
          <w:rtl/>
        </w:rPr>
        <w:t xml:space="preserve"> (</w:t>
      </w:r>
      <w:r w:rsidRPr="00101652">
        <w:rPr>
          <w:b/>
          <w:bCs/>
          <w:sz w:val="18"/>
          <w:szCs w:val="18"/>
          <w:rtl/>
          <w:lang w:bidi="ar-EG"/>
        </w:rPr>
        <w:t>الإنصاف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في مسائل الخلاف)، وقد حفلت بها كتب العلم والأدب، واهتم بها علماء التراجم والطبقات،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وقد بدأها أبو البركات الأنباري في (الإنصاف) بقوله</w:t>
      </w:r>
      <w:r w:rsidRPr="00101652">
        <w:rPr>
          <w:b/>
          <w:bCs/>
          <w:sz w:val="18"/>
          <w:szCs w:val="18"/>
          <w:rtl/>
        </w:rPr>
        <w:t>: "</w:t>
      </w:r>
      <w:r w:rsidRPr="00101652">
        <w:rPr>
          <w:b/>
          <w:bCs/>
          <w:sz w:val="18"/>
          <w:szCs w:val="18"/>
          <w:rtl/>
          <w:lang w:bidi="ar-EG"/>
        </w:rPr>
        <w:t>ذهب الكوفيون إلى أنه يجوز أن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يقال: كنت أظن أن العقرب أشد لسعة من الزنبور، فإذا هو إياها، وذهب البصريون إلى أنه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لا يجوز أن يقال: فإذا هو إياها، ويجب أن يقال: فإذا هو هي</w:t>
      </w:r>
      <w:r w:rsidRPr="00101652">
        <w:rPr>
          <w:b/>
          <w:bCs/>
          <w:sz w:val="18"/>
          <w:szCs w:val="18"/>
          <w:rtl/>
        </w:rPr>
        <w:t>".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أما الكوفيون فاحتجوا بالحكاية المشهورة بين الكسائي وسيبويه، وسرد الأنباري الحكاية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كما ذكرها غيره، ونمزج هنا قليلًا بين ما يرويه الأنباري الذي أيَّد سيبويه في هذه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المسألة، وبين ما يرويه الزجاجي في كتابه (مجالس العلماء)؛ حيث يروي لنا هذه المسألة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على لسان علم من أعلام الكوفيين كان أحد شخصيات القصة، وأحد المحركين لأحداثها، وهو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أبو زكريا الفراء الذي كان الساعد الأيمن لشيخه الكسائي؛ رغبة منا في الوصول إلى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الحقيقة مجردة من التعصب لفريق من الفريقين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  <w:lang w:bidi="ar-EG"/>
        </w:rPr>
        <w:t>تقول القصة: إن سيبويه قدم على البرامكة، وهم الذين كانوا وزراء الرشيد، وأصحاب الحظوة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عنده، وذكر الفراء أن يحيى بن خالد البرمكي وزير الرشيد عزم على الجمع بينهما أي: بين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سيبويه والكسائي، وجعل يحيى للمناظرة يومًا حضر فيه سيبويه مجلس يحيى وعنده ولداه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جعفر والفضل، ومن حضر بحضورهم من الأكابر، كما حضره عدد من علماء الكوفة على رأسهم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تلميذا الكسائي علي بن الحسن المعروف بالأحمر، والمتوفى سنة أربع وتسعين ومائة من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الهجرة، وأبو زكريا الفراء، فتقدَّم الأحمر على سيبويه قبل حضور الكسائي فسأله عن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مسألة، فأجابه سيبويه، فقال له الأحمر</w:t>
      </w:r>
      <w:r w:rsidRPr="00101652">
        <w:rPr>
          <w:b/>
          <w:bCs/>
          <w:sz w:val="18"/>
          <w:szCs w:val="18"/>
          <w:rtl/>
        </w:rPr>
        <w:t>: "</w:t>
      </w:r>
      <w:r w:rsidRPr="00101652">
        <w:rPr>
          <w:b/>
          <w:bCs/>
          <w:sz w:val="18"/>
          <w:szCs w:val="18"/>
          <w:rtl/>
          <w:lang w:bidi="ar-EG"/>
        </w:rPr>
        <w:t>أخطأت، ثم سأله عن ثانية، فأجابه فيها فقال له</w:t>
      </w:r>
      <w:r w:rsidRPr="00101652">
        <w:rPr>
          <w:b/>
          <w:bCs/>
          <w:sz w:val="18"/>
          <w:szCs w:val="18"/>
          <w:rtl/>
        </w:rPr>
        <w:t xml:space="preserve">: </w:t>
      </w:r>
      <w:r w:rsidRPr="00101652">
        <w:rPr>
          <w:b/>
          <w:bCs/>
          <w:sz w:val="18"/>
          <w:szCs w:val="18"/>
          <w:rtl/>
          <w:lang w:bidi="ar-EG"/>
        </w:rPr>
        <w:t>أخطأت، ثم سأله عن ثالثة فأجابه سيبويه فيها، فقال له: أخطأت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فقال له سيبويه: هذا سوء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أدب، ويذكر الفراء أنه أقبل على سيبويه فقال له: إن في هذا الرجل حدة وعجلة، ولكن ما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تقول في من قال: هؤلاء أبونا، ومررت بأبينا، كيف تقول على مثال ذلك مِن وَأيت أو أويت؟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فقدَّر فأخطأ، هكذا يحكي الفراء، فقلت -والكلام على لسان الفراء-: أعد النظر، فقدَّر فأخطأ،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ثلاث مرات يجيب ولا يصيب، فلما كثر ذلك عليه قال: لا أكلمكما، أو يحضر صاحبكما حتى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أناظره، قال: فحضر الكسائي، فأقبل على سيبويه فقال: تسألني أو أسألك؟ فقال له سيبويه: لا،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بل سلني أنت، فأقبل عليه الكسائي فقال: كيف تقول: كنت أظن أن العقرب أشد لسعة من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الزنبور، فإذا هو هي، أو فإذا هو إياها؟ فقال سيبويه: فإذا هو هي، ولا يجوز النصب، فقال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له الكسائي: لحنت، ثم سأله عن مسائل من هذا النوع نحو: خرجت فإذا عبد الله القائمُ أو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القائمَ. فقال سيبويه في ذلك كله بالرفع، دون النصب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lastRenderedPageBreak/>
        <w:t>فقال الكسائي: ليس هذا من كلام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العرب، والعرب ترفع ذلك كله وتنصبه، فدفع سيبويه قوله ولم يجز فيه النصب. فقال له يحيى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بن خالد: قد اختلفتما وأنتما رئيسا بلديكما، فمن ذا يحكم بينكما؟ فقال له الكسائي: هذه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العرب ببابك قد اجتمعت من كل أوب، ووفدت عليك من كل صُقْع، وهم فصحاء الناس، وقد قنع بهم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أهل المِصْرَيْن، وسمع أهل الكوفة وأهل البصرة منهم، فيحضرون، ويُسألون، فقال له يحيى وجعفر</w:t>
      </w:r>
      <w:r w:rsidRPr="00101652">
        <w:rPr>
          <w:b/>
          <w:bCs/>
          <w:sz w:val="18"/>
          <w:szCs w:val="18"/>
          <w:rtl/>
        </w:rPr>
        <w:t xml:space="preserve">: </w:t>
      </w:r>
      <w:r w:rsidRPr="00101652">
        <w:rPr>
          <w:b/>
          <w:bCs/>
          <w:sz w:val="18"/>
          <w:szCs w:val="18"/>
          <w:rtl/>
          <w:lang w:bidi="ar-EG"/>
        </w:rPr>
        <w:t>لقد أنصفت، وأمر بإحضارهم، فدخلوا وفيهم أبو فَقْعَس، وأبو زياد، وأبو الجراح، وأبو ثروان،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فسُئلوا عن المسائل التي جرت بين الكسائي وسيبويه، فتابعوا الكسائي، وقالوا بقوله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فأقبل يحيى أو الكسائي على سيبويه فقال: قد تسمع أيها الرجل، فاستكان سيبويه أي: خضع،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وأقبل الكسائي على يحيى فقال له: أصلح الله الوزير إنه وفد عليك من بلده مؤمِّلًا، فإن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رأيت ألا تردَّه خائبًا، فأمَر له بعشرة آلاف درهم، فخرج سيبويه وصير وجهه إلى فارس،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وأقام هناك إلى أن مات، ولم يعد إلى البصرة</w:t>
      </w:r>
      <w:r w:rsidRPr="00101652">
        <w:rPr>
          <w:b/>
          <w:bCs/>
          <w:sz w:val="18"/>
          <w:szCs w:val="18"/>
          <w:rtl/>
        </w:rPr>
        <w:t xml:space="preserve">". </w:t>
      </w:r>
      <w:r w:rsidRPr="00101652">
        <w:rPr>
          <w:b/>
          <w:bCs/>
          <w:sz w:val="18"/>
          <w:szCs w:val="18"/>
          <w:rtl/>
          <w:lang w:bidi="ar-EG"/>
        </w:rPr>
        <w:t>وقد اجتمعت كلمة العلماء المنصفين على أن سيبويه قد خُذل في هذه المسألة ظلمًا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 xml:space="preserve">وعدوانًا، وذكروا أن الحق كان مع سيبويه، وأن ما قاله هو </w:t>
      </w:r>
      <w:r w:rsidRPr="00101652">
        <w:rPr>
          <w:b/>
          <w:bCs/>
          <w:spacing w:val="-4"/>
          <w:sz w:val="18"/>
          <w:szCs w:val="18"/>
          <w:rtl/>
          <w:lang w:bidi="ar-EG"/>
        </w:rPr>
        <w:t>الحق الذي له وجهه الموافق</w:t>
      </w:r>
      <w:r w:rsidRPr="00101652">
        <w:rPr>
          <w:b/>
          <w:bCs/>
          <w:spacing w:val="-4"/>
          <w:sz w:val="18"/>
          <w:szCs w:val="18"/>
          <w:rtl/>
        </w:rPr>
        <w:t xml:space="preserve"> </w:t>
      </w:r>
      <w:r w:rsidRPr="00101652">
        <w:rPr>
          <w:b/>
          <w:bCs/>
          <w:spacing w:val="-4"/>
          <w:sz w:val="18"/>
          <w:szCs w:val="18"/>
          <w:rtl/>
          <w:lang w:bidi="ar-EG"/>
        </w:rPr>
        <w:t>لما في القرآن الكريم من وقوع الجملة الاسمية بعد إذا التي للمفاجأة نحو قوله</w:t>
      </w:r>
      <w:r w:rsidRPr="00101652">
        <w:rPr>
          <w:b/>
          <w:bCs/>
          <w:spacing w:val="-4"/>
          <w:sz w:val="18"/>
          <w:szCs w:val="18"/>
          <w:rtl/>
        </w:rPr>
        <w:t xml:space="preserve"> </w:t>
      </w:r>
      <w:r w:rsidRPr="00101652">
        <w:rPr>
          <w:b/>
          <w:bCs/>
          <w:spacing w:val="-4"/>
          <w:sz w:val="18"/>
          <w:szCs w:val="18"/>
          <w:rtl/>
          <w:lang w:bidi="ar-EG"/>
        </w:rPr>
        <w:t>تعالى</w:t>
      </w:r>
      <w:r w:rsidRPr="00101652">
        <w:rPr>
          <w:b/>
          <w:bCs/>
          <w:spacing w:val="-4"/>
          <w:sz w:val="18"/>
          <w:szCs w:val="18"/>
          <w:rtl/>
        </w:rPr>
        <w:t xml:space="preserve">: </w:t>
      </w:r>
      <w:r w:rsidRPr="00101652">
        <w:rPr>
          <w:b/>
          <w:bCs/>
          <w:color w:val="008000"/>
          <w:spacing w:val="-4"/>
          <w:sz w:val="18"/>
          <w:szCs w:val="18"/>
          <w:rtl/>
        </w:rPr>
        <w:t xml:space="preserve">{ </w:t>
      </w:r>
      <w:r w:rsidRPr="00BC7CA1">
        <w:rPr>
          <w:rFonts w:cs="QCF_P164"/>
          <w:color w:val="008000"/>
          <w:spacing w:val="-4"/>
          <w:sz w:val="18"/>
          <w:szCs w:val="18"/>
          <w:rtl/>
        </w:rPr>
        <w:t>ﭺ ﭻ ﭼ ﭽ</w:t>
      </w:r>
      <w:r w:rsidRPr="00101652">
        <w:rPr>
          <w:b/>
          <w:bCs/>
          <w:color w:val="008000"/>
          <w:spacing w:val="-4"/>
          <w:sz w:val="18"/>
          <w:szCs w:val="18"/>
          <w:rtl/>
        </w:rPr>
        <w:t xml:space="preserve">} </w:t>
      </w:r>
      <w:r w:rsidRPr="00101652">
        <w:rPr>
          <w:b/>
          <w:bCs/>
          <w:spacing w:val="-4"/>
          <w:sz w:val="18"/>
          <w:szCs w:val="18"/>
          <w:rtl/>
        </w:rPr>
        <w:t>[</w:t>
      </w:r>
      <w:r w:rsidRPr="00101652">
        <w:rPr>
          <w:b/>
          <w:bCs/>
          <w:spacing w:val="-4"/>
          <w:sz w:val="18"/>
          <w:szCs w:val="18"/>
          <w:rtl/>
          <w:lang w:bidi="ar-EG"/>
        </w:rPr>
        <w:t xml:space="preserve">الأعراف: 108]، وقوله </w:t>
      </w:r>
      <w:r w:rsidRPr="00101652">
        <w:rPr>
          <w:b/>
          <w:bCs/>
          <w:spacing w:val="-4"/>
          <w:position w:val="-4"/>
          <w:sz w:val="18"/>
          <w:szCs w:val="18"/>
          <w:lang w:bidi="ar-EG"/>
        </w:rPr>
        <w:t></w:t>
      </w:r>
      <w:r w:rsidRPr="00101652">
        <w:rPr>
          <w:b/>
          <w:bCs/>
          <w:sz w:val="18"/>
          <w:szCs w:val="18"/>
          <w:rtl/>
        </w:rPr>
        <w:t xml:space="preserve">: </w:t>
      </w:r>
      <w:r w:rsidRPr="00101652">
        <w:rPr>
          <w:b/>
          <w:bCs/>
          <w:color w:val="008000"/>
          <w:sz w:val="18"/>
          <w:szCs w:val="18"/>
          <w:rtl/>
        </w:rPr>
        <w:t xml:space="preserve">{ </w:t>
      </w:r>
      <w:r w:rsidRPr="00BC7CA1">
        <w:rPr>
          <w:rFonts w:cs="QCF_P313"/>
          <w:color w:val="008000"/>
          <w:sz w:val="20"/>
          <w:szCs w:val="20"/>
          <w:rtl/>
        </w:rPr>
        <w:t>ﮑ ﮒ ﮓ ﮔ</w:t>
      </w:r>
      <w:r w:rsidRPr="00101652">
        <w:rPr>
          <w:b/>
          <w:bCs/>
          <w:color w:val="008000"/>
          <w:sz w:val="18"/>
          <w:szCs w:val="18"/>
          <w:rtl/>
        </w:rPr>
        <w:t xml:space="preserve">} </w:t>
      </w:r>
      <w:r w:rsidRPr="00101652">
        <w:rPr>
          <w:b/>
          <w:bCs/>
          <w:sz w:val="18"/>
          <w:szCs w:val="18"/>
          <w:rtl/>
        </w:rPr>
        <w:t>[</w:t>
      </w:r>
      <w:r w:rsidRPr="00101652">
        <w:rPr>
          <w:b/>
          <w:bCs/>
          <w:sz w:val="18"/>
          <w:szCs w:val="18"/>
          <w:rtl/>
          <w:lang w:bidi="ar-EG"/>
        </w:rPr>
        <w:t>طه: 20]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101652">
        <w:rPr>
          <w:b/>
          <w:bCs/>
          <w:sz w:val="18"/>
          <w:szCs w:val="18"/>
          <w:rtl/>
          <w:lang w:bidi="ar-EG"/>
        </w:rPr>
        <w:t>وقال ابن الشجري في أماليه</w:t>
      </w:r>
      <w:r w:rsidRPr="00101652">
        <w:rPr>
          <w:b/>
          <w:bCs/>
          <w:sz w:val="18"/>
          <w:szCs w:val="18"/>
          <w:rtl/>
        </w:rPr>
        <w:t>: "</w:t>
      </w:r>
      <w:r w:rsidRPr="00101652">
        <w:rPr>
          <w:b/>
          <w:bCs/>
          <w:sz w:val="18"/>
          <w:szCs w:val="18"/>
          <w:rtl/>
          <w:lang w:bidi="ar-EG"/>
        </w:rPr>
        <w:t>وإنما أنكر سيبويه النصب؛ لأنه لم يره مطابقًا للقياس،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ولم ير له وجهًا يُقارب الصواب، ولما لم يظفر الكسائي بحجة قياسية يدفع بها إنكار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سيبويه للنصب؛ كان قصاراه الالتجاء إلى السماع، والتشبث بقول أعراب أُحضروا، فسئلوا عن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ذلك، وكان للكسائي بهم أَنَسَة، وسيبويه إذ ذاك غريب طارئ عليهم، وذكر قوم من البصريين أن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الكسائي قد جعل لهم جعلًا استمالهم به إلى تصويب قوله، وقيل: إنما قصد الكسائي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بسؤاله عما علم أنه لا وجه له في العربية، واتفق هو والفراء على ذلك ليخالفه سيبويه،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فيكون الرجوع إلى السماع، فينقطع المجلس عن النظر والقياس</w:t>
      </w:r>
      <w:r w:rsidRPr="00101652">
        <w:rPr>
          <w:b/>
          <w:bCs/>
          <w:sz w:val="18"/>
          <w:szCs w:val="18"/>
          <w:rtl/>
        </w:rPr>
        <w:t xml:space="preserve">". </w:t>
      </w:r>
      <w:r w:rsidRPr="00101652">
        <w:rPr>
          <w:b/>
          <w:bCs/>
          <w:sz w:val="18"/>
          <w:szCs w:val="18"/>
          <w:rtl/>
          <w:lang w:bidi="ar-EG"/>
        </w:rPr>
        <w:t>انتهى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101652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101652">
        <w:rPr>
          <w:b/>
          <w:bCs/>
          <w:sz w:val="18"/>
          <w:szCs w:val="18"/>
          <w:rtl/>
          <w:lang w:bidi="ar-EG"/>
        </w:rPr>
        <w:t>وقال ابن هشام</w:t>
      </w:r>
      <w:r w:rsidRPr="00101652">
        <w:rPr>
          <w:b/>
          <w:bCs/>
          <w:sz w:val="18"/>
          <w:szCs w:val="18"/>
          <w:rtl/>
        </w:rPr>
        <w:t>: "</w:t>
      </w:r>
      <w:r w:rsidRPr="00101652">
        <w:rPr>
          <w:b/>
          <w:bCs/>
          <w:sz w:val="18"/>
          <w:szCs w:val="18"/>
          <w:rtl/>
          <w:lang w:bidi="ar-EG"/>
        </w:rPr>
        <w:t>يقال: إنهم -أي: العرب الذين استشهد بهم الكسائي- قد أُرشوا على ذلك، أو إنهم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علموا منزلة الكسائي عند الرشيد، ويقال: إنهم إنما قالوا: القول قول الكسائي، ولم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ينطقوا بالنصب، وإن سيبويه قال: يحيى مُرهم أن ينطقوا بذلك، فإن ألسنتهم لا تُطَوَّع به</w:t>
      </w:r>
      <w:r w:rsidRPr="00101652">
        <w:rPr>
          <w:b/>
          <w:bCs/>
          <w:sz w:val="18"/>
          <w:szCs w:val="18"/>
          <w:rtl/>
        </w:rPr>
        <w:t>"</w:t>
      </w:r>
      <w:r w:rsidRPr="00101652">
        <w:rPr>
          <w:b/>
          <w:bCs/>
          <w:sz w:val="18"/>
          <w:szCs w:val="18"/>
          <w:rtl/>
          <w:lang w:bidi="ar-EG"/>
        </w:rPr>
        <w:t>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ثم قال ابن هشام</w:t>
      </w:r>
      <w:r w:rsidRPr="00101652">
        <w:rPr>
          <w:b/>
          <w:bCs/>
          <w:sz w:val="18"/>
          <w:szCs w:val="18"/>
          <w:rtl/>
        </w:rPr>
        <w:t>: "</w:t>
      </w:r>
      <w:r w:rsidRPr="00101652">
        <w:rPr>
          <w:b/>
          <w:bCs/>
          <w:sz w:val="18"/>
          <w:szCs w:val="18"/>
          <w:rtl/>
          <w:lang w:bidi="ar-EG"/>
        </w:rPr>
        <w:t>فإذا هو إياها إن ثبت، فخارج عن القياس، واستعمال الفصحاء كالجزم بلن،</w:t>
      </w:r>
      <w:r w:rsidRPr="00101652">
        <w:rPr>
          <w:b/>
          <w:bCs/>
          <w:sz w:val="18"/>
          <w:szCs w:val="18"/>
          <w:rtl/>
        </w:rPr>
        <w:t xml:space="preserve"> </w:t>
      </w:r>
      <w:r w:rsidRPr="00101652">
        <w:rPr>
          <w:b/>
          <w:bCs/>
          <w:sz w:val="18"/>
          <w:szCs w:val="18"/>
          <w:rtl/>
          <w:lang w:bidi="ar-EG"/>
        </w:rPr>
        <w:t>والنصب بلَم، والجر بلعل، وسيبويه وأصحابه لا يلتفتون لمثل ذلك، وإن تكلم به بعض العرب</w:t>
      </w:r>
      <w:r w:rsidRPr="00101652">
        <w:rPr>
          <w:b/>
          <w:bCs/>
          <w:sz w:val="18"/>
          <w:szCs w:val="18"/>
          <w:rtl/>
        </w:rPr>
        <w:t xml:space="preserve">". </w:t>
      </w:r>
      <w:r w:rsidRPr="00101652">
        <w:rPr>
          <w:b/>
          <w:bCs/>
          <w:sz w:val="18"/>
          <w:szCs w:val="18"/>
          <w:rtl/>
          <w:lang w:bidi="ar-EG"/>
        </w:rPr>
        <w:t>انتهى</w:t>
      </w:r>
      <w:r w:rsidRPr="00101652">
        <w:rPr>
          <w:b/>
          <w:bCs/>
          <w:sz w:val="18"/>
          <w:szCs w:val="18"/>
          <w:rtl/>
        </w:rPr>
        <w:t>.</w:t>
      </w:r>
    </w:p>
    <w:p w:rsidR="00A62B60" w:rsidRPr="00D20229" w:rsidRDefault="00A62B60" w:rsidP="000F6464">
      <w:pPr>
        <w:jc w:val="center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المراجع والمصادر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السيوطي، </w:t>
      </w:r>
      <w:r w:rsidRPr="00D20229">
        <w:rPr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b/>
          <w:bCs/>
          <w:sz w:val="18"/>
          <w:szCs w:val="18"/>
          <w:rtl/>
        </w:rPr>
        <w:t>.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D20229">
        <w:rPr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b/>
          <w:bCs/>
          <w:sz w:val="18"/>
          <w:szCs w:val="18"/>
          <w:rtl/>
        </w:rPr>
        <w:t>.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 w:rsidRPr="00D20229">
        <w:rPr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الأفغاني، </w:t>
      </w:r>
      <w:r w:rsidRPr="00D20229">
        <w:rPr>
          <w:b/>
          <w:bCs/>
          <w:sz w:val="18"/>
          <w:szCs w:val="18"/>
          <w:rtl/>
        </w:rPr>
        <w:t>سعيد الأفغاني، (في أصول النحو)</w:t>
      </w:r>
      <w:r>
        <w:rPr>
          <w:b/>
          <w:bCs/>
          <w:sz w:val="18"/>
          <w:szCs w:val="18"/>
          <w:rtl/>
        </w:rPr>
        <w:t xml:space="preserve"> ،بيروت، المكتب الإسلامي، 1987م.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سيبويه، </w:t>
      </w:r>
      <w:r w:rsidRPr="00D20229">
        <w:rPr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b/>
          <w:bCs/>
          <w:sz w:val="18"/>
          <w:szCs w:val="18"/>
          <w:rtl/>
        </w:rPr>
        <w:t>.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الأنباري، </w:t>
      </w:r>
      <w:r w:rsidRPr="00D20229">
        <w:rPr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b/>
          <w:bCs/>
          <w:sz w:val="18"/>
          <w:szCs w:val="18"/>
          <w:rtl/>
        </w:rPr>
        <w:t>.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الأفغاني، </w:t>
      </w:r>
      <w:r w:rsidRPr="00D20229">
        <w:rPr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A62B60" w:rsidRPr="00D20229" w:rsidRDefault="00A62B60" w:rsidP="000F6464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المبارك، </w:t>
      </w:r>
      <w:r w:rsidRPr="00D20229">
        <w:rPr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b/>
          <w:bCs/>
          <w:sz w:val="18"/>
          <w:szCs w:val="18"/>
          <w:rtl/>
        </w:rPr>
        <w:t>.</w:t>
      </w:r>
    </w:p>
    <w:p w:rsidR="00A62B60" w:rsidRPr="00101652" w:rsidRDefault="00A62B60" w:rsidP="000F6464">
      <w:pPr>
        <w:pStyle w:val="a4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A62B60" w:rsidRDefault="00A62B60" w:rsidP="00101652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  <w:sectPr w:rsidR="00A62B60" w:rsidSect="00101652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A62B60" w:rsidRDefault="00A62B60"/>
    <w:sectPr w:rsidR="00A62B60" w:rsidSect="00101652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1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515CA"/>
    <w:multiLevelType w:val="hybridMultilevel"/>
    <w:tmpl w:val="9D44D52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652"/>
    <w:rsid w:val="000F6464"/>
    <w:rsid w:val="00101652"/>
    <w:rsid w:val="001714C1"/>
    <w:rsid w:val="001D6929"/>
    <w:rsid w:val="00294A2D"/>
    <w:rsid w:val="002E6419"/>
    <w:rsid w:val="003553B5"/>
    <w:rsid w:val="00387DDD"/>
    <w:rsid w:val="004C119C"/>
    <w:rsid w:val="004D1F31"/>
    <w:rsid w:val="00514443"/>
    <w:rsid w:val="006D1376"/>
    <w:rsid w:val="007E277A"/>
    <w:rsid w:val="008059FC"/>
    <w:rsid w:val="0089766D"/>
    <w:rsid w:val="009556CB"/>
    <w:rsid w:val="00A62B60"/>
    <w:rsid w:val="00A67989"/>
    <w:rsid w:val="00AD450C"/>
    <w:rsid w:val="00BC7CA1"/>
    <w:rsid w:val="00BF7572"/>
    <w:rsid w:val="00C50726"/>
    <w:rsid w:val="00D20229"/>
    <w:rsid w:val="00F85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652"/>
    <w:pPr>
      <w:bidi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1652"/>
    <w:pPr>
      <w:bidi w:val="0"/>
      <w:spacing w:before="100" w:beforeAutospacing="1" w:after="100" w:afterAutospacing="1"/>
    </w:pPr>
    <w:rPr>
      <w:lang w:bidi="ar-SA"/>
    </w:rPr>
  </w:style>
  <w:style w:type="paragraph" w:styleId="a4">
    <w:name w:val="List Paragraph"/>
    <w:basedOn w:val="a"/>
    <w:uiPriority w:val="99"/>
    <w:qFormat/>
    <w:rsid w:val="0010165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2013-06-11T15:06:00Z</dcterms:created>
  <dcterms:modified xsi:type="dcterms:W3CDTF">2013-06-19T12:56:00Z</dcterms:modified>
</cp:coreProperties>
</file>