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87" w:rsidRDefault="002B1F87" w:rsidP="00FF320C">
      <w:pPr>
        <w:spacing w:line="240" w:lineRule="auto"/>
        <w:jc w:val="center"/>
        <w:rPr>
          <w:rtl/>
        </w:rPr>
      </w:pPr>
      <w:r w:rsidRPr="000545B9">
        <w:rPr>
          <w:rFonts w:ascii="Times New Roman" w:hAnsi="Times New Roman" w:cs="Times New Roman"/>
          <w:i/>
          <w:iCs/>
          <w:sz w:val="48"/>
          <w:szCs w:val="48"/>
          <w:rtl/>
        </w:rPr>
        <w:t>الإيماء</w:t>
      </w:r>
    </w:p>
    <w:p w:rsidR="002B1F87" w:rsidRPr="00294A2D" w:rsidRDefault="002B1F87" w:rsidP="00FF32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2B1F87" w:rsidRPr="00294A2D" w:rsidRDefault="002B1F87" w:rsidP="007015A4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7015A4" w:rsidRPr="007015A4">
        <w:rPr>
          <w:rFonts w:ascii="Times New Roman" w:hAnsi="Times New Roman" w:cs="Times New Roman"/>
          <w:rtl/>
          <w:lang w:bidi="ar-EG"/>
        </w:rPr>
        <w:t>أحمد عبد الحميد مهدي</w:t>
      </w:r>
    </w:p>
    <w:p w:rsidR="002B1F87" w:rsidRPr="0089766D" w:rsidRDefault="002B1F87" w:rsidP="00FF320C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2B1F87" w:rsidRPr="0089766D" w:rsidRDefault="002B1F87" w:rsidP="00FF320C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2B1F87" w:rsidRPr="0089766D" w:rsidRDefault="002B1F87" w:rsidP="00FF320C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2B1F87" w:rsidRDefault="007015A4" w:rsidP="00FF320C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7015A4">
        <w:rPr>
          <w:rFonts w:ascii="Times New Roman" w:hAnsi="Times New Roman" w:cs="Times New Roman"/>
          <w:i/>
          <w:iCs/>
          <w:sz w:val="20"/>
          <w:szCs w:val="20"/>
          <w:lang w:bidi="ar-EG"/>
        </w:rPr>
        <w:t>ahmed.mahdey@mediu.ws</w:t>
      </w:r>
    </w:p>
    <w:p w:rsidR="002B1F87" w:rsidRDefault="002B1F87" w:rsidP="00FF320C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2B1F87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2B1F87" w:rsidRPr="00FF320C" w:rsidRDefault="002B1F87" w:rsidP="00FF320C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FF320C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الإيماء</w:t>
      </w:r>
    </w:p>
    <w:p w:rsidR="002B1F87" w:rsidRPr="00FF320C" w:rsidRDefault="002B1F87" w:rsidP="00FF320C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FF320C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FF320C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مصدر</w:t>
      </w:r>
      <w:r w:rsidRPr="00FF320C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FF320C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الفعل</w:t>
      </w:r>
      <w:r w:rsidRPr="00FF320C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FF320C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سنن العرب، الدلالة على العلة</w:t>
      </w:r>
    </w:p>
    <w:p w:rsidR="002B1F87" w:rsidRPr="00FF320C" w:rsidRDefault="002B1F87" w:rsidP="00FF320C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FF320C">
        <w:rPr>
          <w:b/>
          <w:bCs/>
          <w:sz w:val="18"/>
          <w:szCs w:val="18"/>
          <w:rtl/>
        </w:rPr>
        <w:t>المقدمة</w:t>
      </w:r>
    </w:p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FF320C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الإيماء</w:t>
      </w:r>
    </w:p>
    <w:p w:rsidR="002B1F87" w:rsidRPr="00FF320C" w:rsidRDefault="002B1F87" w:rsidP="00FF320C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FF320C">
        <w:rPr>
          <w:b/>
          <w:bCs/>
          <w:sz w:val="18"/>
          <w:szCs w:val="18"/>
          <w:rtl/>
        </w:rPr>
        <w:t>عنوان المقال</w:t>
      </w:r>
    </w:p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FF320C">
        <w:rPr>
          <w:b/>
          <w:bCs/>
          <w:color w:val="000080"/>
          <w:sz w:val="18"/>
          <w:szCs w:val="18"/>
          <w:rtl/>
          <w:lang w:bidi="ar-EG"/>
        </w:rPr>
        <w:t>الإيماء في اللغة:</w:t>
      </w:r>
      <w:r w:rsidRPr="00FF320C">
        <w:rPr>
          <w:b/>
          <w:bCs/>
          <w:sz w:val="18"/>
          <w:szCs w:val="18"/>
          <w:rtl/>
          <w:lang w:bidi="ar-EG"/>
        </w:rPr>
        <w:t xml:space="preserve"> مصدر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الفعل الرباعي أومأ بمعنى: أشار إشارة خفية، وقيل: إن أصله الإشارة بالشفة والحاجب،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وأما عند الأصوليين فهو اقتران وصف ملفوظ بحكم، ولو مستنبطًا إلى آخر ما بسطوه</w:t>
      </w:r>
      <w:r w:rsidRPr="00FF320C">
        <w:rPr>
          <w:b/>
          <w:bCs/>
          <w:sz w:val="18"/>
          <w:szCs w:val="18"/>
          <w:rtl/>
        </w:rPr>
        <w:t xml:space="preserve">. </w:t>
      </w:r>
      <w:r w:rsidRPr="00FF320C">
        <w:rPr>
          <w:b/>
          <w:bCs/>
          <w:sz w:val="18"/>
          <w:szCs w:val="18"/>
          <w:rtl/>
          <w:lang w:bidi="ar-EG"/>
        </w:rPr>
        <w:t>ومن سنن العرب أن تُشير إلى المعنى إشارة، وتومئ إيماء دون التصريح، والمراد به هنا</w:t>
      </w:r>
      <w:r w:rsidRPr="00FF320C">
        <w:rPr>
          <w:b/>
          <w:bCs/>
          <w:sz w:val="18"/>
          <w:szCs w:val="18"/>
          <w:rtl/>
        </w:rPr>
        <w:t xml:space="preserve">: </w:t>
      </w:r>
      <w:r w:rsidRPr="00FF320C">
        <w:rPr>
          <w:b/>
          <w:bCs/>
          <w:sz w:val="18"/>
          <w:szCs w:val="18"/>
          <w:rtl/>
          <w:lang w:bidi="ar-EG"/>
        </w:rPr>
        <w:t>الدلالة على العلة من طريق الإشارة إليها، دون أن يكون في الكلام دلالة على المراد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لا بالمنطوق، ولا بالمفهوم، ولا بالتعريض، ولا بالكناية. ويُعدُّ هذا المسلك مقابلًا لمسلك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النص؛ إذ يكون في النص تصريح بالعلة؛ بحيث يعرفها من يسمع نص الأعرابي، وليس كذلك في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الإيماء؛ إذ لا يفطن إليه إلا لبيب</w:t>
      </w:r>
      <w:r w:rsidRPr="00FF320C">
        <w:rPr>
          <w:b/>
          <w:bCs/>
          <w:sz w:val="18"/>
          <w:szCs w:val="18"/>
          <w:rtl/>
        </w:rPr>
        <w:t>.</w:t>
      </w:r>
    </w:p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FF320C">
        <w:rPr>
          <w:b/>
          <w:bCs/>
          <w:sz w:val="18"/>
          <w:szCs w:val="18"/>
          <w:rtl/>
          <w:lang w:bidi="ar-EG"/>
        </w:rPr>
        <w:t>وقد ذكر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السيوطي -رحمه الله- في كتاب (الاقتراح) مثالين فيهما إيماء إلى العلة وهما؛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color w:val="000080"/>
          <w:sz w:val="18"/>
          <w:szCs w:val="18"/>
          <w:rtl/>
          <w:lang w:bidi="ar-EG"/>
        </w:rPr>
        <w:t>المثال الأول:</w:t>
      </w:r>
      <w:r w:rsidRPr="00FF320C">
        <w:rPr>
          <w:b/>
          <w:bCs/>
          <w:sz w:val="18"/>
          <w:szCs w:val="18"/>
          <w:rtl/>
          <w:lang w:bidi="ar-EG"/>
        </w:rPr>
        <w:t xml:space="preserve"> رُوي أن قومًا من العرب أتوا النبي </w:t>
      </w:r>
      <w:r w:rsidRPr="004048CF">
        <w:rPr>
          <w:rFonts w:ascii="AGA Arabesque" w:hAnsi="AGA Arabesque"/>
          <w:b/>
          <w:bCs/>
          <w:position w:val="-4"/>
          <w:sz w:val="18"/>
          <w:szCs w:val="18"/>
          <w:lang w:bidi="ar-EG"/>
        </w:rPr>
        <w:t></w:t>
      </w:r>
      <w:r w:rsidRPr="00FF320C">
        <w:rPr>
          <w:b/>
          <w:bCs/>
          <w:sz w:val="18"/>
          <w:szCs w:val="18"/>
          <w:rtl/>
          <w:lang w:bidi="ar-EG"/>
        </w:rPr>
        <w:t xml:space="preserve"> فقال</w:t>
      </w:r>
      <w:r w:rsidRPr="00FF320C">
        <w:rPr>
          <w:b/>
          <w:bCs/>
          <w:sz w:val="18"/>
          <w:szCs w:val="18"/>
          <w:rtl/>
        </w:rPr>
        <w:t xml:space="preserve">: </w:t>
      </w:r>
      <w:r w:rsidRPr="00FF320C">
        <w:rPr>
          <w:b/>
          <w:bCs/>
          <w:color w:val="0000FF"/>
          <w:sz w:val="18"/>
          <w:szCs w:val="18"/>
          <w:rtl/>
        </w:rPr>
        <w:t>((</w:t>
      </w:r>
      <w:r w:rsidRPr="00FF320C">
        <w:rPr>
          <w:b/>
          <w:bCs/>
          <w:color w:val="0000FF"/>
          <w:sz w:val="18"/>
          <w:szCs w:val="18"/>
          <w:rtl/>
          <w:lang w:bidi="ar-EG"/>
        </w:rPr>
        <w:t>من</w:t>
      </w:r>
      <w:r w:rsidRPr="00FF320C">
        <w:rPr>
          <w:b/>
          <w:bCs/>
          <w:color w:val="0000FF"/>
          <w:sz w:val="18"/>
          <w:szCs w:val="18"/>
          <w:rtl/>
        </w:rPr>
        <w:t xml:space="preserve"> </w:t>
      </w:r>
      <w:r w:rsidRPr="00FF320C">
        <w:rPr>
          <w:b/>
          <w:bCs/>
          <w:color w:val="0000FF"/>
          <w:sz w:val="18"/>
          <w:szCs w:val="18"/>
          <w:rtl/>
          <w:lang w:bidi="ar-EG"/>
        </w:rPr>
        <w:t>أنتم؟ فقالوا: نحن بنو غيان، فقال: بل أنتم بنو رشدان</w:t>
      </w:r>
      <w:r w:rsidRPr="00FF320C">
        <w:rPr>
          <w:b/>
          <w:bCs/>
          <w:color w:val="0000FF"/>
          <w:sz w:val="18"/>
          <w:szCs w:val="18"/>
          <w:rtl/>
        </w:rPr>
        <w:t>))،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فكان الاسم مشتقًّا من الغي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والغواية بفتح الغين فيهما، وهو الانهماك في الجهل، والإمعان في الضلال، ولم ينطق رسول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 xml:space="preserve">الله </w:t>
      </w:r>
      <w:r w:rsidRPr="004048CF">
        <w:rPr>
          <w:rFonts w:ascii="AGA Arabesque" w:hAnsi="AGA Arabesque"/>
          <w:b/>
          <w:bCs/>
          <w:position w:val="-4"/>
          <w:sz w:val="18"/>
          <w:szCs w:val="18"/>
          <w:lang w:bidi="ar-EG"/>
        </w:rPr>
        <w:t></w:t>
      </w:r>
      <w:r w:rsidRPr="00FF320C">
        <w:rPr>
          <w:b/>
          <w:bCs/>
          <w:sz w:val="18"/>
          <w:szCs w:val="18"/>
          <w:rtl/>
          <w:lang w:bidi="ar-EG"/>
        </w:rPr>
        <w:t xml:space="preserve"> بهذا الاشتقاق، بل غير الاسم إلى رشدان من الرشد، وهو ضد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الغي؛ فكان تغييره دليلًا على أن الألف والنون في غيان زائدتان، وليس في اللفظ تصريح،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ولا كناية، ولا تعريض يدل على زيادتهما، بل إيماء وإشارة إلى زيادتهما. وتُفهم هذه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الإشارة من اشتقاقه إيَّاه من الغي</w:t>
      </w:r>
      <w:r w:rsidRPr="00FF320C">
        <w:rPr>
          <w:b/>
          <w:bCs/>
          <w:sz w:val="18"/>
          <w:szCs w:val="18"/>
          <w:rtl/>
        </w:rPr>
        <w:t xml:space="preserve">. </w:t>
      </w:r>
      <w:r w:rsidRPr="00FF320C">
        <w:rPr>
          <w:b/>
          <w:bCs/>
          <w:sz w:val="18"/>
          <w:szCs w:val="18"/>
          <w:rtl/>
          <w:lang w:bidi="ar-EG"/>
        </w:rPr>
        <w:t>وقد علق ابن جني على هذا المثال بقوله</w:t>
      </w:r>
      <w:r w:rsidRPr="00FF320C">
        <w:rPr>
          <w:b/>
          <w:bCs/>
          <w:sz w:val="18"/>
          <w:szCs w:val="18"/>
          <w:rtl/>
        </w:rPr>
        <w:t>: "</w:t>
      </w:r>
      <w:r w:rsidRPr="00FF320C">
        <w:rPr>
          <w:b/>
          <w:bCs/>
          <w:sz w:val="18"/>
          <w:szCs w:val="18"/>
          <w:rtl/>
          <w:lang w:bidi="ar-EG"/>
        </w:rPr>
        <w:t>أشار إلى أن الألف والنون زائدتان، وإن كان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لم يتفوَّه بذلك غير أن اشتقاقه إيَّاه من الغي بمنزلة قولنا نحن: إن الألف والنون فيه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زائدتان</w:t>
      </w:r>
      <w:r w:rsidRPr="00FF320C">
        <w:rPr>
          <w:b/>
          <w:bCs/>
          <w:sz w:val="18"/>
          <w:szCs w:val="18"/>
          <w:rtl/>
        </w:rPr>
        <w:t xml:space="preserve">"، </w:t>
      </w:r>
      <w:r w:rsidRPr="00FF320C">
        <w:rPr>
          <w:b/>
          <w:bCs/>
          <w:sz w:val="18"/>
          <w:szCs w:val="18"/>
          <w:rtl/>
          <w:lang w:bidi="ar-EG"/>
        </w:rPr>
        <w:t>ومعنى ما ذكره ابن جني: أن الاشتقاق من الغي دلَّ بطريق الإيماء على زيادة الألف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والنون</w:t>
      </w:r>
      <w:r w:rsidRPr="00FF320C">
        <w:rPr>
          <w:b/>
          <w:bCs/>
          <w:sz w:val="18"/>
          <w:szCs w:val="18"/>
          <w:rtl/>
        </w:rPr>
        <w:t>.</w:t>
      </w:r>
    </w:p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FF320C">
        <w:rPr>
          <w:b/>
          <w:bCs/>
          <w:color w:val="000080"/>
          <w:sz w:val="18"/>
          <w:szCs w:val="18"/>
          <w:rtl/>
          <w:lang w:bidi="ar-EG"/>
        </w:rPr>
        <w:t>والمثال الثاني:</w:t>
      </w:r>
      <w:r w:rsidRPr="00FF320C">
        <w:rPr>
          <w:b/>
          <w:bCs/>
          <w:sz w:val="18"/>
          <w:szCs w:val="18"/>
          <w:rtl/>
          <w:lang w:bidi="ar-EG"/>
        </w:rPr>
        <w:t xml:space="preserve"> ما حكاه غير واحد أن الفرزدق حضر مجلس عبد الله بن أبي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إسحاق، وكان عبد الله أعلم أهل البصرة وأعقلهم، وفرَّع النحو وقاسه، سُئل عنه يونس فقال</w:t>
      </w:r>
      <w:r w:rsidRPr="00FF320C">
        <w:rPr>
          <w:b/>
          <w:bCs/>
          <w:sz w:val="18"/>
          <w:szCs w:val="18"/>
          <w:rtl/>
        </w:rPr>
        <w:t>: "</w:t>
      </w:r>
      <w:r w:rsidRPr="00FF320C">
        <w:rPr>
          <w:b/>
          <w:bCs/>
          <w:sz w:val="18"/>
          <w:szCs w:val="18"/>
          <w:rtl/>
          <w:lang w:bidi="ar-EG"/>
        </w:rPr>
        <w:t>هو والنحو سواء</w:t>
      </w:r>
      <w:r w:rsidRPr="00FF320C">
        <w:rPr>
          <w:b/>
          <w:bCs/>
          <w:sz w:val="18"/>
          <w:szCs w:val="18"/>
          <w:rtl/>
        </w:rPr>
        <w:t xml:space="preserve">"، </w:t>
      </w:r>
      <w:r w:rsidRPr="00FF320C">
        <w:rPr>
          <w:b/>
          <w:bCs/>
          <w:sz w:val="18"/>
          <w:szCs w:val="18"/>
          <w:rtl/>
          <w:lang w:bidi="ar-EG"/>
        </w:rPr>
        <w:t>فقال ابن أبي إسحاق للفرزدق</w:t>
      </w:r>
      <w:r w:rsidRPr="00FF320C">
        <w:rPr>
          <w:b/>
          <w:bCs/>
          <w:sz w:val="18"/>
          <w:szCs w:val="18"/>
          <w:rtl/>
        </w:rPr>
        <w:t>: "</w:t>
      </w:r>
      <w:r w:rsidRPr="00FF320C">
        <w:rPr>
          <w:b/>
          <w:bCs/>
          <w:sz w:val="18"/>
          <w:szCs w:val="18"/>
          <w:rtl/>
          <w:lang w:bidi="ar-EG"/>
        </w:rPr>
        <w:t>كيف تنشد هذا البيت</w:t>
      </w:r>
      <w:r w:rsidRPr="00FF320C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1"/>
        <w:gridCol w:w="568"/>
        <w:gridCol w:w="2115"/>
      </w:tblGrid>
      <w:tr w:rsidR="002B1F87" w:rsidRPr="00BB056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وعينان قال الله: كونا فكانتا</w:t>
            </w: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فعولان بالألباب ما تفعل الخمر</w:t>
            </w: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FF320C">
        <w:rPr>
          <w:b/>
          <w:bCs/>
          <w:sz w:val="18"/>
          <w:szCs w:val="18"/>
          <w:rtl/>
          <w:lang w:bidi="ar-EG"/>
        </w:rPr>
        <w:t>فقال الفرزدق: كذا أُنشد أي: كما أنشدته أنت كذلك أنشده أنا، أي: برفع فعولان، فقال ابن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أبي إسحاق: ما كان عليك لو قلت: فعولين يعني: بالنصب على أن الكلمة خبر كانتا؛ لأنها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مثنى فعول كصبور، والمثنى يُنصب بالياء، فقال الفرزدق: لو شئت أن أسبح لسبحت، أو قال</w:t>
      </w:r>
      <w:r w:rsidRPr="00FF320C">
        <w:rPr>
          <w:b/>
          <w:bCs/>
          <w:sz w:val="18"/>
          <w:szCs w:val="18"/>
          <w:rtl/>
        </w:rPr>
        <w:t xml:space="preserve">: </w:t>
      </w:r>
      <w:r w:rsidRPr="00FF320C">
        <w:rPr>
          <w:b/>
          <w:bCs/>
          <w:sz w:val="18"/>
          <w:szCs w:val="18"/>
          <w:rtl/>
          <w:lang w:bidi="ar-EG"/>
        </w:rPr>
        <w:t>لو شئت أن أسبِّح لسبَّحت أي: يجوز أن أسبح وهو مضارع سبح، كمنع، والمعنى عليه. لو أردت أن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أخوض فيما لا يعني، وأسبح في لجة الحدس والتخمين والجهل بلا معرفة؛ لفعلت. ويجوز ضم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الهمزة وشد الموحدة من التسبيح، والمعنى عليه أي: لسبحت الله تعجبًا من جهلك، فإن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التسبيح يُذكر في مقامات التعجب كثيرًا. قال الفرزدق ذلك ونهض، فلم يعرف أحد في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المجلس ما أراد</w:t>
      </w:r>
      <w:r w:rsidRPr="00FF320C">
        <w:rPr>
          <w:b/>
          <w:bCs/>
          <w:sz w:val="18"/>
          <w:szCs w:val="18"/>
          <w:rtl/>
        </w:rPr>
        <w:t>"</w:t>
      </w:r>
      <w:r w:rsidRPr="00FF320C">
        <w:rPr>
          <w:b/>
          <w:bCs/>
          <w:sz w:val="18"/>
          <w:szCs w:val="18"/>
          <w:rtl/>
          <w:lang w:bidi="ar-EG"/>
        </w:rPr>
        <w:t>، أي: ما قصده من التخطئة، والتعجب من الجهل</w:t>
      </w:r>
      <w:r w:rsidRPr="00FF320C">
        <w:rPr>
          <w:b/>
          <w:bCs/>
          <w:sz w:val="18"/>
          <w:szCs w:val="18"/>
          <w:rtl/>
        </w:rPr>
        <w:t>.</w:t>
      </w:r>
    </w:p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FF320C">
        <w:rPr>
          <w:b/>
          <w:bCs/>
          <w:sz w:val="18"/>
          <w:szCs w:val="18"/>
          <w:rtl/>
          <w:lang w:bidi="ar-EG"/>
        </w:rPr>
        <w:lastRenderedPageBreak/>
        <w:t>قال ابن جني</w:t>
      </w:r>
      <w:r w:rsidRPr="00FF320C">
        <w:rPr>
          <w:b/>
          <w:bCs/>
          <w:sz w:val="18"/>
          <w:szCs w:val="18"/>
          <w:rtl/>
        </w:rPr>
        <w:t>: "</w:t>
      </w:r>
      <w:r w:rsidRPr="00FF320C">
        <w:rPr>
          <w:b/>
          <w:bCs/>
          <w:sz w:val="18"/>
          <w:szCs w:val="18"/>
          <w:rtl/>
          <w:lang w:bidi="ar-EG"/>
        </w:rPr>
        <w:t>أي: لو نصب لأخبر أن الله خلقهما وأمرهما أن تفعلا ذلك، وإنما أراد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أنهما تفعلان بالألباب ما تفعل الخمر، وقال: كان هنا تامَّة غير محتاجة إلى الخبر،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فكأنه قال: وعينان قال الله: احدثا فحدثتا، أو اخرجا إلى الوجود فخرجتا</w:t>
      </w:r>
      <w:r w:rsidRPr="00FF320C">
        <w:rPr>
          <w:b/>
          <w:bCs/>
          <w:sz w:val="18"/>
          <w:szCs w:val="18"/>
          <w:rtl/>
        </w:rPr>
        <w:t xml:space="preserve">". </w:t>
      </w:r>
      <w:r w:rsidRPr="00FF320C">
        <w:rPr>
          <w:b/>
          <w:bCs/>
          <w:sz w:val="18"/>
          <w:szCs w:val="18"/>
          <w:rtl/>
          <w:lang w:bidi="ar-EG"/>
        </w:rPr>
        <w:t>انتهى</w:t>
      </w:r>
      <w:r w:rsidRPr="00FF320C">
        <w:rPr>
          <w:b/>
          <w:bCs/>
          <w:sz w:val="18"/>
          <w:szCs w:val="18"/>
          <w:rtl/>
        </w:rPr>
        <w:t xml:space="preserve">. </w:t>
      </w:r>
      <w:r w:rsidRPr="00FF320C">
        <w:rPr>
          <w:b/>
          <w:bCs/>
          <w:sz w:val="18"/>
          <w:szCs w:val="18"/>
          <w:rtl/>
          <w:lang w:bidi="ar-EG"/>
        </w:rPr>
        <w:t>فقد أنشد الفرزدق البيت برفع فعولان على الاستئناف وإضمار المبتدأ، والتقدير: هما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فعولان بالألباب ما تفعل الخمر، والمعنى على هذا الإنشاد: أن كان في البيت تامة لا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تحتاج إلى الخبر، فكأنه قال: احدثا فحدثتا، ثم استأنف قائلًا: هما تفعلان بالألباب ما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تفعل الخمر، فدل الفرزدق بالإيماء على أن كان تامة، وليس في لفظه ما يدل على تمامها،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لا بالمنطوق، ولا بالمفهوم، ولا بالتعريض، ولا بالكناية، ولو أنه أنشد البيت بالنصب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لقال</w:t>
      </w:r>
      <w:r w:rsidRPr="00FF320C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1"/>
        <w:gridCol w:w="568"/>
        <w:gridCol w:w="2115"/>
      </w:tblGrid>
      <w:tr w:rsidR="002B1F87" w:rsidRPr="00BB056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وعينان قال الله كونا فكانتا</w:t>
            </w: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2B1F87" w:rsidRPr="00BB0566" w:rsidRDefault="002B1F87" w:rsidP="00BB056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فعولين بالألباب ما تفعل الخمر</w:t>
            </w:r>
            <w:r w:rsidRPr="00BB056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2B1F87" w:rsidRPr="00FF320C" w:rsidRDefault="002B1F87" w:rsidP="00FF320C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FF320C">
        <w:rPr>
          <w:b/>
          <w:bCs/>
          <w:sz w:val="18"/>
          <w:szCs w:val="18"/>
          <w:rtl/>
          <w:lang w:bidi="ar-EG"/>
        </w:rPr>
        <w:t>وكان المراد أنه يُخبر بأن الله خلقهما، وأمرهما أن تفعلا ذلك، وقد تعجَّب الفرزدق من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قول ابن أبي إسحاق</w:t>
      </w:r>
      <w:r w:rsidRPr="00FF320C">
        <w:rPr>
          <w:b/>
          <w:bCs/>
          <w:sz w:val="18"/>
          <w:szCs w:val="18"/>
          <w:rtl/>
        </w:rPr>
        <w:t>: "</w:t>
      </w:r>
      <w:r w:rsidRPr="00FF320C">
        <w:rPr>
          <w:b/>
          <w:bCs/>
          <w:sz w:val="18"/>
          <w:szCs w:val="18"/>
          <w:rtl/>
          <w:lang w:bidi="ar-EG"/>
        </w:rPr>
        <w:t>ما كان عليك لو قلت: فعولين</w:t>
      </w:r>
      <w:r w:rsidRPr="00FF320C">
        <w:rPr>
          <w:b/>
          <w:bCs/>
          <w:sz w:val="18"/>
          <w:szCs w:val="18"/>
          <w:rtl/>
        </w:rPr>
        <w:t>"</w:t>
      </w:r>
      <w:r w:rsidRPr="00FF320C">
        <w:rPr>
          <w:b/>
          <w:bCs/>
          <w:sz w:val="18"/>
          <w:szCs w:val="18"/>
          <w:rtl/>
          <w:lang w:bidi="ar-EG"/>
        </w:rPr>
        <w:t>، وقام منصرفًا؛ إظهارًا للإعراض عنه</w:t>
      </w:r>
      <w:r w:rsidRPr="00FF320C">
        <w:rPr>
          <w:b/>
          <w:bCs/>
          <w:sz w:val="18"/>
          <w:szCs w:val="18"/>
          <w:rtl/>
        </w:rPr>
        <w:t xml:space="preserve">؛ </w:t>
      </w:r>
      <w:r w:rsidRPr="00FF320C">
        <w:rPr>
          <w:b/>
          <w:bCs/>
          <w:sz w:val="18"/>
          <w:szCs w:val="18"/>
          <w:rtl/>
          <w:lang w:bidi="ar-EG"/>
        </w:rPr>
        <w:t>لأنه لم يرد بإنشاد البيت أن تكون كان ناقصة، بل أراد تمامها، فأومأ إلى ذلك برفع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فعولان، وقيل: على رواية فعولان بالرفع يجوز إعرابان؛ أحدهما: ما تقدم من جعل فعولان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خبرًا لمبتدأ محذوف تقديره: هما فعولان، والآخر: إعراب فعولان نعتًا لعينان، والمعنى</w:t>
      </w:r>
      <w:r w:rsidRPr="00FF320C">
        <w:rPr>
          <w:b/>
          <w:bCs/>
          <w:sz w:val="18"/>
          <w:szCs w:val="18"/>
          <w:rtl/>
        </w:rPr>
        <w:t xml:space="preserve">: </w:t>
      </w:r>
      <w:r w:rsidRPr="00FF320C">
        <w:rPr>
          <w:b/>
          <w:bCs/>
          <w:sz w:val="18"/>
          <w:szCs w:val="18"/>
          <w:rtl/>
          <w:lang w:bidi="ar-EG"/>
        </w:rPr>
        <w:t>وعينان فعولان بالألباب ما تفعل الخمر، قال الله: كونا فكانتا. وكان في كلا الوجهين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تامة غير محتاجة إلى الخبر</w:t>
      </w:r>
      <w:r w:rsidRPr="00FF320C">
        <w:rPr>
          <w:b/>
          <w:bCs/>
          <w:sz w:val="18"/>
          <w:szCs w:val="18"/>
          <w:rtl/>
        </w:rPr>
        <w:t xml:space="preserve">. </w:t>
      </w:r>
      <w:r w:rsidRPr="00FF320C">
        <w:rPr>
          <w:b/>
          <w:bCs/>
          <w:sz w:val="18"/>
          <w:szCs w:val="18"/>
          <w:rtl/>
          <w:lang w:bidi="ar-EG"/>
        </w:rPr>
        <w:t>وعلى رواية فعولين بالنصب يجوز إعرابان أيضًا، وهما: أن يكون النصب على الخبرية لكان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الناقصة، أو أن يكون على القطع أي: على المفعولية لفعل محذوف تقديره: أعني، أو أمدح، أو</w:t>
      </w:r>
      <w:r w:rsidRPr="00FF320C">
        <w:rPr>
          <w:b/>
          <w:bCs/>
          <w:sz w:val="18"/>
          <w:szCs w:val="18"/>
          <w:rtl/>
        </w:rPr>
        <w:t xml:space="preserve"> </w:t>
      </w:r>
      <w:r w:rsidRPr="00FF320C">
        <w:rPr>
          <w:b/>
          <w:bCs/>
          <w:sz w:val="18"/>
          <w:szCs w:val="18"/>
          <w:rtl/>
          <w:lang w:bidi="ar-EG"/>
        </w:rPr>
        <w:t>نحو ذلك، وتكون كان تامة</w:t>
      </w:r>
      <w:r w:rsidRPr="00FF320C">
        <w:rPr>
          <w:b/>
          <w:bCs/>
          <w:sz w:val="18"/>
          <w:szCs w:val="18"/>
          <w:rtl/>
        </w:rPr>
        <w:t>.</w:t>
      </w:r>
    </w:p>
    <w:p w:rsidR="002B1F87" w:rsidRPr="00D20229" w:rsidRDefault="002B1F87" w:rsidP="00971E0F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2B1F87" w:rsidRPr="00D20229" w:rsidRDefault="002B1F87" w:rsidP="00971E0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2B1F87" w:rsidRPr="00FF320C" w:rsidRDefault="002B1F87" w:rsidP="00971E0F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2B1F87" w:rsidRDefault="002B1F87" w:rsidP="00FF320C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  <w:sectPr w:rsidR="002B1F87" w:rsidSect="00FF320C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2B1F87" w:rsidRPr="00FF320C" w:rsidRDefault="002B1F87" w:rsidP="00FF320C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</w:pPr>
    </w:p>
    <w:p w:rsidR="002B1F87" w:rsidRPr="001D6929" w:rsidRDefault="002B1F87" w:rsidP="00FF320C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2B1F87" w:rsidRPr="0089766D" w:rsidRDefault="002B1F87" w:rsidP="00FF320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2B1F87" w:rsidRPr="00FF320C" w:rsidRDefault="002B1F87" w:rsidP="00FF320C">
      <w:pPr>
        <w:jc w:val="center"/>
      </w:pPr>
    </w:p>
    <w:sectPr w:rsidR="002B1F87" w:rsidRPr="00FF320C" w:rsidSect="00FF320C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4FB"/>
    <w:multiLevelType w:val="hybridMultilevel"/>
    <w:tmpl w:val="59E29E1A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0C"/>
    <w:rsid w:val="000545B9"/>
    <w:rsid w:val="001072B2"/>
    <w:rsid w:val="001D6929"/>
    <w:rsid w:val="00294A2D"/>
    <w:rsid w:val="002B1F87"/>
    <w:rsid w:val="003E44BD"/>
    <w:rsid w:val="004048CF"/>
    <w:rsid w:val="00446241"/>
    <w:rsid w:val="004C07D6"/>
    <w:rsid w:val="004C4DF4"/>
    <w:rsid w:val="00514443"/>
    <w:rsid w:val="006E3161"/>
    <w:rsid w:val="007015A4"/>
    <w:rsid w:val="007F23E4"/>
    <w:rsid w:val="0089766D"/>
    <w:rsid w:val="009556CB"/>
    <w:rsid w:val="00971E0F"/>
    <w:rsid w:val="00BB0566"/>
    <w:rsid w:val="00BF7572"/>
    <w:rsid w:val="00D20229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FF320C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FF32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FF320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F32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2013-06-11T08:58:00Z</dcterms:created>
  <dcterms:modified xsi:type="dcterms:W3CDTF">2013-06-19T12:58:00Z</dcterms:modified>
</cp:coreProperties>
</file>