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35" w:rsidRDefault="00891935" w:rsidP="00051881">
      <w:pPr>
        <w:spacing w:before="60"/>
        <w:jc w:val="center"/>
        <w:rPr>
          <w:i/>
          <w:iCs/>
          <w:sz w:val="48"/>
          <w:szCs w:val="48"/>
          <w:rtl/>
        </w:rPr>
      </w:pPr>
      <w:r w:rsidRPr="00051881">
        <w:rPr>
          <w:i/>
          <w:iCs/>
          <w:sz w:val="48"/>
          <w:szCs w:val="48"/>
          <w:rtl/>
        </w:rPr>
        <w:t>الحكم إذا كان القولان المتعارضان مرسلين وأمكن تأويل أحدهما</w:t>
      </w:r>
    </w:p>
    <w:p w:rsidR="00891935" w:rsidRPr="00294A2D" w:rsidRDefault="00891935" w:rsidP="00051881">
      <w:pPr>
        <w:jc w:val="center"/>
        <w:rPr>
          <w:i/>
          <w:iCs/>
          <w:sz w:val="28"/>
          <w:szCs w:val="28"/>
          <w:rtl/>
        </w:rPr>
      </w:pPr>
      <w:r w:rsidRPr="00294A2D">
        <w:rPr>
          <w:i/>
          <w:iCs/>
          <w:sz w:val="28"/>
          <w:szCs w:val="28"/>
          <w:rtl/>
        </w:rPr>
        <w:t xml:space="preserve">بحث  </w:t>
      </w:r>
      <w:proofErr w:type="spellStart"/>
      <w:r w:rsidRPr="00294A2D">
        <w:rPr>
          <w:i/>
          <w:iCs/>
          <w:sz w:val="28"/>
          <w:szCs w:val="28"/>
          <w:rtl/>
        </w:rPr>
        <w:t>فى</w:t>
      </w:r>
      <w:proofErr w:type="spellEnd"/>
      <w:r w:rsidRPr="00294A2D">
        <w:rPr>
          <w:i/>
          <w:iCs/>
          <w:sz w:val="28"/>
          <w:szCs w:val="28"/>
          <w:rtl/>
        </w:rPr>
        <w:t xml:space="preserve">  </w:t>
      </w:r>
      <w:proofErr w:type="spellStart"/>
      <w:r w:rsidRPr="00294A2D">
        <w:rPr>
          <w:i/>
          <w:iCs/>
          <w:sz w:val="28"/>
          <w:szCs w:val="28"/>
          <w:rtl/>
        </w:rPr>
        <w:t>اصول</w:t>
      </w:r>
      <w:proofErr w:type="spellEnd"/>
      <w:r w:rsidRPr="00294A2D">
        <w:rPr>
          <w:i/>
          <w:iCs/>
          <w:sz w:val="28"/>
          <w:szCs w:val="28"/>
          <w:rtl/>
        </w:rPr>
        <w:t xml:space="preserve"> النحو</w:t>
      </w:r>
    </w:p>
    <w:p w:rsidR="00891935" w:rsidRPr="00294A2D" w:rsidRDefault="00891935" w:rsidP="00266A6A">
      <w:pPr>
        <w:jc w:val="center"/>
        <w:rPr>
          <w:sz w:val="22"/>
          <w:szCs w:val="22"/>
        </w:rPr>
      </w:pPr>
      <w:r w:rsidRPr="00294A2D">
        <w:rPr>
          <w:sz w:val="22"/>
          <w:szCs w:val="22"/>
          <w:rtl/>
        </w:rPr>
        <w:t xml:space="preserve">إعداد أ/ </w:t>
      </w:r>
      <w:r w:rsidR="00266A6A" w:rsidRPr="00266A6A">
        <w:rPr>
          <w:rFonts w:hint="cs"/>
          <w:sz w:val="22"/>
          <w:szCs w:val="22"/>
          <w:rtl/>
        </w:rPr>
        <w:t>شادية بيومي حامد</w:t>
      </w:r>
    </w:p>
    <w:p w:rsidR="00891935" w:rsidRPr="0089766D" w:rsidRDefault="00891935" w:rsidP="00051881">
      <w:pPr>
        <w:jc w:val="center"/>
        <w:rPr>
          <w:i/>
          <w:iCs/>
          <w:sz w:val="20"/>
          <w:szCs w:val="20"/>
        </w:rPr>
      </w:pPr>
      <w:r w:rsidRPr="0089766D">
        <w:rPr>
          <w:i/>
          <w:iCs/>
          <w:sz w:val="20"/>
          <w:szCs w:val="20"/>
          <w:rtl/>
        </w:rPr>
        <w:t>قسم اللغة العربية</w:t>
      </w:r>
    </w:p>
    <w:p w:rsidR="00891935" w:rsidRPr="0089766D" w:rsidRDefault="00891935" w:rsidP="00051881">
      <w:pPr>
        <w:jc w:val="center"/>
        <w:rPr>
          <w:i/>
          <w:iCs/>
          <w:sz w:val="20"/>
          <w:szCs w:val="20"/>
        </w:rPr>
      </w:pPr>
      <w:r w:rsidRPr="0089766D">
        <w:rPr>
          <w:i/>
          <w:iCs/>
          <w:sz w:val="20"/>
          <w:szCs w:val="20"/>
          <w:rtl/>
        </w:rPr>
        <w:t>كلية اللغات – جامعة المدينة العالمية</w:t>
      </w:r>
    </w:p>
    <w:p w:rsidR="00891935" w:rsidRPr="0089766D" w:rsidRDefault="00891935" w:rsidP="00051881">
      <w:pPr>
        <w:jc w:val="center"/>
        <w:rPr>
          <w:i/>
          <w:iCs/>
          <w:sz w:val="20"/>
          <w:szCs w:val="20"/>
          <w:rtl/>
        </w:rPr>
      </w:pPr>
      <w:r w:rsidRPr="0089766D">
        <w:rPr>
          <w:i/>
          <w:iCs/>
          <w:sz w:val="20"/>
          <w:szCs w:val="20"/>
          <w:rtl/>
        </w:rPr>
        <w:t>شاه علم – ماليزيا</w:t>
      </w:r>
    </w:p>
    <w:p w:rsidR="00891935" w:rsidRDefault="00266A6A" w:rsidP="00051881">
      <w:pPr>
        <w:spacing w:before="60"/>
        <w:jc w:val="center"/>
        <w:rPr>
          <w:i/>
          <w:iCs/>
          <w:sz w:val="48"/>
          <w:szCs w:val="48"/>
          <w:rtl/>
        </w:rPr>
      </w:pPr>
      <w:r w:rsidRPr="00266A6A">
        <w:rPr>
          <w:i/>
          <w:iCs/>
          <w:sz w:val="20"/>
          <w:szCs w:val="20"/>
        </w:rPr>
        <w:t>shadia@mediu.ws</w:t>
      </w:r>
    </w:p>
    <w:p w:rsidR="00891935" w:rsidRDefault="00891935" w:rsidP="00051881">
      <w:pPr>
        <w:spacing w:before="60"/>
        <w:jc w:val="center"/>
        <w:rPr>
          <w:i/>
          <w:iCs/>
          <w:sz w:val="48"/>
          <w:szCs w:val="48"/>
          <w:rtl/>
        </w:rPr>
      </w:pPr>
    </w:p>
    <w:p w:rsidR="00891935" w:rsidRDefault="00891935" w:rsidP="00051881">
      <w:pPr>
        <w:spacing w:before="60"/>
        <w:rPr>
          <w:b/>
          <w:bCs/>
          <w:sz w:val="18"/>
          <w:szCs w:val="18"/>
          <w:rtl/>
        </w:rPr>
        <w:sectPr w:rsidR="00891935" w:rsidSect="00BF7572">
          <w:pgSz w:w="11906" w:h="16838"/>
          <w:pgMar w:top="964" w:right="1021" w:bottom="964" w:left="1021" w:header="709" w:footer="709" w:gutter="0"/>
          <w:cols w:space="708"/>
          <w:bidi/>
          <w:rtlGutter/>
          <w:docGrid w:linePitch="360"/>
        </w:sectPr>
      </w:pPr>
    </w:p>
    <w:p w:rsidR="00891935" w:rsidRPr="00051881" w:rsidRDefault="00891935" w:rsidP="00051881">
      <w:pPr>
        <w:spacing w:before="60"/>
        <w:rPr>
          <w:b/>
          <w:bCs/>
          <w:sz w:val="18"/>
          <w:szCs w:val="18"/>
          <w:rtl/>
        </w:rPr>
      </w:pPr>
      <w:r w:rsidRPr="00051881">
        <w:rPr>
          <w:b/>
          <w:bCs/>
          <w:sz w:val="18"/>
          <w:szCs w:val="18"/>
          <w:rtl/>
        </w:rPr>
        <w:lastRenderedPageBreak/>
        <w:t>خلاصة  -- هذا البحث يبحث في الحكم إذا كان القولان المتعارضان مرسلين وأمكن تأويل أحدهما</w:t>
      </w:r>
    </w:p>
    <w:p w:rsidR="00891935" w:rsidRPr="00051881" w:rsidRDefault="00891935" w:rsidP="00051881">
      <w:pPr>
        <w:spacing w:after="120"/>
        <w:jc w:val="lowKashida"/>
        <w:rPr>
          <w:b/>
          <w:bCs/>
          <w:sz w:val="18"/>
          <w:szCs w:val="18"/>
          <w:rtl/>
        </w:rPr>
      </w:pPr>
      <w:r w:rsidRPr="00051881">
        <w:rPr>
          <w:b/>
          <w:bCs/>
          <w:sz w:val="18"/>
          <w:szCs w:val="18"/>
          <w:rtl/>
        </w:rPr>
        <w:t xml:space="preserve">الكلمات </w:t>
      </w:r>
      <w:proofErr w:type="spellStart"/>
      <w:r w:rsidRPr="00051881">
        <w:rPr>
          <w:b/>
          <w:bCs/>
          <w:sz w:val="18"/>
          <w:szCs w:val="18"/>
          <w:rtl/>
        </w:rPr>
        <w:t>المفتاحية</w:t>
      </w:r>
      <w:proofErr w:type="spellEnd"/>
      <w:r w:rsidRPr="00051881">
        <w:rPr>
          <w:b/>
          <w:bCs/>
          <w:sz w:val="18"/>
          <w:szCs w:val="18"/>
          <w:rtl/>
        </w:rPr>
        <w:t xml:space="preserve"> :</w:t>
      </w:r>
      <w:r w:rsidRPr="00051881">
        <w:rPr>
          <w:b/>
          <w:bCs/>
          <w:spacing w:val="-4"/>
          <w:sz w:val="18"/>
          <w:szCs w:val="18"/>
          <w:rtl/>
        </w:rPr>
        <w:t xml:space="preserve"> التعليل</w:t>
      </w:r>
      <w:r w:rsidRPr="00051881">
        <w:rPr>
          <w:b/>
          <w:bCs/>
          <w:sz w:val="18"/>
          <w:szCs w:val="18"/>
          <w:rtl/>
        </w:rPr>
        <w:t xml:space="preserve"> ،</w:t>
      </w:r>
      <w:r w:rsidRPr="00051881">
        <w:rPr>
          <w:b/>
          <w:bCs/>
          <w:spacing w:val="-4"/>
          <w:sz w:val="18"/>
          <w:szCs w:val="18"/>
          <w:rtl/>
        </w:rPr>
        <w:t xml:space="preserve"> الوجه الأول</w:t>
      </w:r>
      <w:r w:rsidRPr="00051881">
        <w:rPr>
          <w:b/>
          <w:bCs/>
          <w:sz w:val="18"/>
          <w:szCs w:val="18"/>
          <w:rtl/>
        </w:rPr>
        <w:t xml:space="preserve"> ، الكتاب</w:t>
      </w:r>
    </w:p>
    <w:p w:rsidR="00891935" w:rsidRPr="00051881" w:rsidRDefault="00891935" w:rsidP="00051881">
      <w:pPr>
        <w:pStyle w:val="a4"/>
        <w:numPr>
          <w:ilvl w:val="0"/>
          <w:numId w:val="2"/>
        </w:numPr>
        <w:spacing w:after="120"/>
        <w:jc w:val="center"/>
        <w:rPr>
          <w:b/>
          <w:bCs/>
          <w:sz w:val="18"/>
          <w:szCs w:val="18"/>
          <w:rtl/>
        </w:rPr>
      </w:pPr>
      <w:r w:rsidRPr="00051881">
        <w:rPr>
          <w:b/>
          <w:bCs/>
          <w:sz w:val="18"/>
          <w:szCs w:val="18"/>
          <w:rtl/>
        </w:rPr>
        <w:t>المقدمة</w:t>
      </w:r>
    </w:p>
    <w:p w:rsidR="00891935" w:rsidRPr="00051881" w:rsidRDefault="00891935" w:rsidP="00051881">
      <w:pPr>
        <w:pStyle w:val="a3"/>
        <w:bidi/>
        <w:spacing w:before="0" w:beforeAutospacing="0" w:after="120" w:afterAutospacing="0"/>
        <w:jc w:val="lowKashida"/>
        <w:rPr>
          <w:b/>
          <w:bCs/>
          <w:sz w:val="18"/>
          <w:szCs w:val="18"/>
          <w:rtl/>
        </w:rPr>
      </w:pPr>
      <w:r w:rsidRPr="00051881">
        <w:rPr>
          <w:b/>
          <w:bCs/>
          <w:sz w:val="18"/>
          <w:szCs w:val="18"/>
          <w:rtl/>
        </w:rPr>
        <w:t xml:space="preserve"> الحمد لله، والصلاة والسلام على سيدنا رسول الله، وعلى آله وصحبه ومن والاه، سوف نتحدث في هذا المقال عن الحكم إذا كان القولان المتعارضان مرسلين وأمكن تأويل أحدهما</w:t>
      </w:r>
    </w:p>
    <w:p w:rsidR="00891935" w:rsidRPr="00051881" w:rsidRDefault="00891935" w:rsidP="00051881">
      <w:pPr>
        <w:pStyle w:val="a3"/>
        <w:numPr>
          <w:ilvl w:val="0"/>
          <w:numId w:val="2"/>
        </w:numPr>
        <w:bidi/>
        <w:spacing w:before="0" w:beforeAutospacing="0" w:after="120" w:afterAutospacing="0"/>
        <w:jc w:val="center"/>
        <w:rPr>
          <w:b/>
          <w:bCs/>
          <w:sz w:val="18"/>
          <w:szCs w:val="18"/>
          <w:rtl/>
        </w:rPr>
      </w:pPr>
      <w:r w:rsidRPr="00051881">
        <w:rPr>
          <w:b/>
          <w:bCs/>
          <w:sz w:val="18"/>
          <w:szCs w:val="18"/>
          <w:rtl/>
        </w:rPr>
        <w:t>عنوان المقال</w:t>
      </w:r>
    </w:p>
    <w:p w:rsidR="00891935" w:rsidRPr="00051881" w:rsidRDefault="00891935" w:rsidP="00051881">
      <w:pPr>
        <w:pStyle w:val="a3"/>
        <w:bidi/>
        <w:spacing w:before="0" w:beforeAutospacing="0" w:after="120" w:afterAutospacing="0"/>
        <w:jc w:val="lowKashida"/>
        <w:rPr>
          <w:b/>
          <w:bCs/>
          <w:spacing w:val="-4"/>
          <w:sz w:val="18"/>
          <w:szCs w:val="18"/>
        </w:rPr>
      </w:pPr>
      <w:r w:rsidRPr="00051881">
        <w:rPr>
          <w:b/>
          <w:bCs/>
          <w:spacing w:val="-4"/>
          <w:sz w:val="18"/>
          <w:szCs w:val="18"/>
          <w:rtl/>
        </w:rPr>
        <w:t xml:space="preserve">أشار ابن جني في (الخصائص) إلى الحكم إذا كان القولان لعالم واحد في مسألة واحدة قد وردا عنه متضادين، وكانا مرسلين أي: مطلقين من التعليل بقوله: "ومن ذلك أن يرد اللفظان عن العالم متضادين على غير هذا الوجه، أي: على غير الوجه الأول الذي سبق الحديث عنه، وهو أن يحكم في شيء بحكم ما، ثم يحكم فيه نفسه بضده، غير أنه لم يُعلل أحد القولين، فينبغي حينئذٍ أن يُنظر إلى الأليق بالمذهب، </w:t>
      </w:r>
      <w:proofErr w:type="spellStart"/>
      <w:r w:rsidRPr="00051881">
        <w:rPr>
          <w:b/>
          <w:bCs/>
          <w:spacing w:val="-4"/>
          <w:sz w:val="18"/>
          <w:szCs w:val="18"/>
          <w:rtl/>
        </w:rPr>
        <w:t>والأجرى</w:t>
      </w:r>
      <w:proofErr w:type="spellEnd"/>
      <w:r w:rsidRPr="00051881">
        <w:rPr>
          <w:b/>
          <w:bCs/>
          <w:spacing w:val="-4"/>
          <w:sz w:val="18"/>
          <w:szCs w:val="18"/>
          <w:rtl/>
        </w:rPr>
        <w:t xml:space="preserve"> على قوانينه، فيُجعل هو المراد المعتزم منهما، ويتأول الآخر إن أمكن"، وذكر ابن جني مثلًا لذلك بما وقع من سيبويه في (الكتاب) في ناصب الفعل المضارع الواقع بعد حتى، فقال: "وذلك كقوله –يريد سيبويه- حتى </w:t>
      </w:r>
      <w:proofErr w:type="spellStart"/>
      <w:r w:rsidRPr="00051881">
        <w:rPr>
          <w:b/>
          <w:bCs/>
          <w:spacing w:val="-4"/>
          <w:sz w:val="18"/>
          <w:szCs w:val="18"/>
          <w:rtl/>
        </w:rPr>
        <w:t>الناصبة</w:t>
      </w:r>
      <w:proofErr w:type="spellEnd"/>
      <w:r w:rsidRPr="00051881">
        <w:rPr>
          <w:b/>
          <w:bCs/>
          <w:spacing w:val="-4"/>
          <w:sz w:val="18"/>
          <w:szCs w:val="18"/>
          <w:rtl/>
        </w:rPr>
        <w:t xml:space="preserve"> للفعل، وقد تكرر من قوله أنها حرف من حروف الجر، وهذا نافٍ؛ لكونها </w:t>
      </w:r>
      <w:proofErr w:type="spellStart"/>
      <w:r w:rsidRPr="00051881">
        <w:rPr>
          <w:b/>
          <w:bCs/>
          <w:spacing w:val="-4"/>
          <w:sz w:val="18"/>
          <w:szCs w:val="18"/>
          <w:rtl/>
        </w:rPr>
        <w:t>ناصبة</w:t>
      </w:r>
      <w:proofErr w:type="spellEnd"/>
      <w:r w:rsidRPr="00051881">
        <w:rPr>
          <w:b/>
          <w:bCs/>
          <w:spacing w:val="-4"/>
          <w:sz w:val="18"/>
          <w:szCs w:val="18"/>
          <w:rtl/>
        </w:rPr>
        <w:t xml:space="preserve"> له، من حيث كانت عوامل الأسماء لا تباشر الأفعال، فضلًا عن أن تعمل فيها.</w:t>
      </w:r>
    </w:p>
    <w:p w:rsidR="00891935" w:rsidRPr="00051881" w:rsidRDefault="00891935" w:rsidP="00E56492">
      <w:pPr>
        <w:pStyle w:val="a3"/>
        <w:bidi/>
        <w:spacing w:before="0" w:beforeAutospacing="0" w:after="120" w:afterAutospacing="0"/>
        <w:jc w:val="lowKashida"/>
        <w:rPr>
          <w:b/>
          <w:bCs/>
          <w:sz w:val="18"/>
          <w:szCs w:val="18"/>
          <w:rtl/>
        </w:rPr>
      </w:pPr>
      <w:r w:rsidRPr="00051881">
        <w:rPr>
          <w:b/>
          <w:bCs/>
          <w:sz w:val="18"/>
          <w:szCs w:val="18"/>
          <w:rtl/>
        </w:rPr>
        <w:t xml:space="preserve"> وقد استقر من قوله في غير مكان ذكر عدة الحروف </w:t>
      </w:r>
      <w:proofErr w:type="spellStart"/>
      <w:r w:rsidRPr="00051881">
        <w:rPr>
          <w:b/>
          <w:bCs/>
          <w:sz w:val="18"/>
          <w:szCs w:val="18"/>
          <w:rtl/>
        </w:rPr>
        <w:t>الناصبة</w:t>
      </w:r>
      <w:proofErr w:type="spellEnd"/>
      <w:r w:rsidRPr="00051881">
        <w:rPr>
          <w:b/>
          <w:bCs/>
          <w:sz w:val="18"/>
          <w:szCs w:val="18"/>
          <w:rtl/>
        </w:rPr>
        <w:t xml:space="preserve"> للفعل، وليست فيها حتى، فعُلم بذلك وبنصه عليه في غير هذا الموضع أن </w:t>
      </w:r>
      <w:proofErr w:type="spellStart"/>
      <w:r w:rsidRPr="00051881">
        <w:rPr>
          <w:b/>
          <w:bCs/>
          <w:sz w:val="18"/>
          <w:szCs w:val="18"/>
          <w:rtl/>
        </w:rPr>
        <w:t>أن</w:t>
      </w:r>
      <w:proofErr w:type="spellEnd"/>
      <w:r w:rsidRPr="00051881">
        <w:rPr>
          <w:b/>
          <w:bCs/>
          <w:sz w:val="18"/>
          <w:szCs w:val="18"/>
          <w:rtl/>
        </w:rPr>
        <w:t xml:space="preserve"> مضمرة عنده بعد حتى، </w:t>
      </w:r>
      <w:r w:rsidRPr="00051881">
        <w:rPr>
          <w:b/>
          <w:bCs/>
          <w:spacing w:val="-4"/>
          <w:sz w:val="18"/>
          <w:szCs w:val="18"/>
          <w:rtl/>
        </w:rPr>
        <w:t xml:space="preserve">كما تُضمر مع اللام الجارة في نحو قوله سبحانه: </w:t>
      </w:r>
      <w:r w:rsidRPr="00051881">
        <w:rPr>
          <w:b/>
          <w:bCs/>
          <w:color w:val="008000"/>
          <w:spacing w:val="-4"/>
          <w:sz w:val="18"/>
          <w:szCs w:val="18"/>
          <w:rtl/>
        </w:rPr>
        <w:t>{</w:t>
      </w:r>
      <w:r w:rsidRPr="00E56492">
        <w:rPr>
          <w:rFonts w:ascii="QCF_P511" w:hAnsi="QCF_P511" w:cs="QCF_P511"/>
          <w:color w:val="008000"/>
          <w:spacing w:val="-4"/>
          <w:sz w:val="18"/>
          <w:szCs w:val="18"/>
          <w:rtl/>
        </w:rPr>
        <w:t>ﭗ ﭘ ﭙ</w:t>
      </w:r>
      <w:r w:rsidRPr="00051881">
        <w:rPr>
          <w:b/>
          <w:bCs/>
          <w:color w:val="008000"/>
          <w:spacing w:val="-4"/>
          <w:sz w:val="18"/>
          <w:szCs w:val="18"/>
          <w:rtl/>
        </w:rPr>
        <w:t xml:space="preserve">} </w:t>
      </w:r>
      <w:r w:rsidRPr="00051881">
        <w:rPr>
          <w:b/>
          <w:bCs/>
          <w:spacing w:val="-4"/>
          <w:sz w:val="18"/>
          <w:szCs w:val="18"/>
          <w:rtl/>
        </w:rPr>
        <w:t>[الفتح: 2]</w:t>
      </w:r>
      <w:r w:rsidRPr="00051881">
        <w:rPr>
          <w:b/>
          <w:bCs/>
          <w:sz w:val="18"/>
          <w:szCs w:val="18"/>
          <w:rtl/>
        </w:rPr>
        <w:t xml:space="preserve"> ونحو ذلك، فالمذهب إذن هو هذا". وإذا انتقلنا قليلًا من ابن جني إلى (الكتاب) لسيبويه وقفنا على الآتي:</w:t>
      </w:r>
    </w:p>
    <w:p w:rsidR="00891935" w:rsidRPr="00051881" w:rsidRDefault="00891935" w:rsidP="00051881">
      <w:pPr>
        <w:pStyle w:val="a3"/>
        <w:bidi/>
        <w:spacing w:before="0" w:beforeAutospacing="0" w:after="120" w:afterAutospacing="0"/>
        <w:jc w:val="lowKashida"/>
        <w:rPr>
          <w:b/>
          <w:bCs/>
          <w:spacing w:val="-4"/>
          <w:sz w:val="18"/>
          <w:szCs w:val="18"/>
        </w:rPr>
      </w:pPr>
      <w:r w:rsidRPr="00051881">
        <w:rPr>
          <w:b/>
          <w:bCs/>
          <w:color w:val="000080"/>
          <w:spacing w:val="-4"/>
          <w:sz w:val="18"/>
          <w:szCs w:val="18"/>
          <w:rtl/>
        </w:rPr>
        <w:t>أولًا:</w:t>
      </w:r>
      <w:r w:rsidRPr="00051881">
        <w:rPr>
          <w:b/>
          <w:bCs/>
          <w:spacing w:val="-4"/>
          <w:sz w:val="18"/>
          <w:szCs w:val="18"/>
          <w:rtl/>
        </w:rPr>
        <w:t xml:space="preserve"> من أبواب (الكتاب): هذا باب إعراب الأفعال المضارعة للأسماء، وقد صدره سيبويه بقوله: "اعلم أن هذه الأفعال لها حروف تعمل فيها فتنصبها، لا تعمل في الأسماء، كما أن حروف الأسماء التي تنصبها لا تعمل في الأفعال"، وتلا هذا الباب مباشرة باب الحروف التي تُضمر فيها أن، وبدأه سيبويه بقوله: "وذلك اللام التي في قولك: جئتك لتفعل، وحتى، وذلك قولك: حتى تفعل ذاك، فإنما انتصب هذا بأن، وأنْ ها هنا مضمرة، ولو لم تضمرها؛ لكان الكلام محالًا، لأن اللام وحتى إنما يعملان في الأسماء فيجران، وليستا من الحروف التي تُضاف إلى الأفعال، فإذا أضمرت أنْ حسن الكلام؛ لأن "أنْ" وتفعل بمنزلة اسم واحد، كما أن "الذي" وصلته بمنزلة اسم واحد، فإذا قلت: هو الذي فعل، فكأنك قلت: هو الفاعل، وإذا قلت: أخشى أن تفعل، فكأنك قلت: أخشى فعلك، أفلا ترى أن أنْ تفعل بمنزلة الفعل، فلما أضمرت أن؛ كنت قد وضعت هذين الحرفين مواضعهما؛ لأنهما لا يعملان إلا في الأسماء، ولا يضافان إلا إليها، وأنْ تفعل بمنزلة الفعل".</w:t>
      </w:r>
    </w:p>
    <w:p w:rsidR="00891935" w:rsidRPr="00051881" w:rsidRDefault="00891935" w:rsidP="00051881">
      <w:pPr>
        <w:pStyle w:val="a3"/>
        <w:bidi/>
        <w:spacing w:before="0" w:beforeAutospacing="0" w:after="120" w:afterAutospacing="0"/>
        <w:jc w:val="lowKashida"/>
        <w:rPr>
          <w:b/>
          <w:bCs/>
          <w:sz w:val="18"/>
          <w:szCs w:val="18"/>
          <w:rtl/>
        </w:rPr>
      </w:pPr>
      <w:r w:rsidRPr="00051881">
        <w:rPr>
          <w:b/>
          <w:bCs/>
          <w:sz w:val="18"/>
          <w:szCs w:val="18"/>
          <w:rtl/>
        </w:rPr>
        <w:t>ثم قال في الباب نفسه: "واعلم أن أنْ لا تظهر بعد حتى وكي، كما لا يظهر بعد أما الفعل في قولك: أما أنت منطلقًا انطلقت، واكتفوا عن إظهار أنْ بعدهما بعلم المخاطب أن هذين الحرفين لا يُضافان إلى فعل، وأنهما ليسا مما يعمل في الفعل، وأن الفعل لا يحسن بعدهما إلا أن يُحمل على أنْ، فأنْ ها هنا بمنزلة الفعل في أما. وما كان بمنزلة أما مما لا يظهر بعده الفعل، فصار عندهم بدلًا من اللفظ بأنْ" انتهى. وهكذا يذكر سيبويه غير مرة أن حتى من عوامل جر الأسماء، وأن عوامل الأسماء لا تعمل في الأفعال، كما أن عوامل الأفعال لا تعمل في الأسماء، وأن الفعل المضارع المنصوب بعد حتى منصوب بأنْ مضمرة بعدها، وأنها والفعل بمنزلة اسم واحد هو المصدر.</w:t>
      </w:r>
    </w:p>
    <w:p w:rsidR="00891935" w:rsidRPr="00051881" w:rsidRDefault="00891935" w:rsidP="00051881">
      <w:pPr>
        <w:pStyle w:val="a3"/>
        <w:bidi/>
        <w:spacing w:before="0" w:beforeAutospacing="0" w:after="120" w:afterAutospacing="0"/>
        <w:jc w:val="lowKashida"/>
        <w:rPr>
          <w:b/>
          <w:bCs/>
          <w:spacing w:val="-4"/>
          <w:sz w:val="18"/>
          <w:szCs w:val="18"/>
        </w:rPr>
      </w:pPr>
      <w:r w:rsidRPr="00051881">
        <w:rPr>
          <w:b/>
          <w:bCs/>
          <w:spacing w:val="-4"/>
          <w:sz w:val="18"/>
          <w:szCs w:val="18"/>
          <w:rtl/>
        </w:rPr>
        <w:lastRenderedPageBreak/>
        <w:t>وبعد صفحات قليلة من الباب السابق في (الكتاب) نجد بابًا عنوانه: هذا باب حتى، يقول سيبويه في أوله: "اعلم أن حتى تنصب على وجهين؛ فأحدهما: أن تجعل الدخول غاية لمسيرك، وذلك قولك: سرت حتى أدخلها، كأنك قلت: سرت إلى أنْ أدخلها، فالناصب للفعل ها هنا هو الجار للاسم، إذا كان غاية؛ فالفعل إذا كان غاية نصب، والاسم إذا كان غاية جر، وهذا قول الخليل. وأما الوجه الآخر: فأن يكون السير قد كان، والدخول لم يكن، وذلك إذا جاء مثل كي التي فيها إضمار أن وفي معناها، وذلك قولك: كلمته حتى يأمر لي بشيء". انتهى.</w:t>
      </w:r>
    </w:p>
    <w:p w:rsidR="00891935" w:rsidRPr="00051881" w:rsidRDefault="00891935" w:rsidP="00051881">
      <w:pPr>
        <w:pStyle w:val="a3"/>
        <w:bidi/>
        <w:spacing w:before="0" w:beforeAutospacing="0" w:after="120" w:afterAutospacing="0"/>
        <w:jc w:val="lowKashida"/>
        <w:rPr>
          <w:b/>
          <w:bCs/>
          <w:sz w:val="18"/>
          <w:szCs w:val="18"/>
          <w:rtl/>
        </w:rPr>
      </w:pPr>
      <w:r w:rsidRPr="00051881">
        <w:rPr>
          <w:b/>
          <w:bCs/>
          <w:sz w:val="18"/>
          <w:szCs w:val="18"/>
          <w:rtl/>
        </w:rPr>
        <w:t xml:space="preserve">فظاهر النص الأخير يتعارض مع ما ورد في النص الأول، إذ النص الأخير يدل </w:t>
      </w:r>
      <w:proofErr w:type="spellStart"/>
      <w:r w:rsidRPr="00051881">
        <w:rPr>
          <w:b/>
          <w:bCs/>
          <w:sz w:val="18"/>
          <w:szCs w:val="18"/>
          <w:rtl/>
        </w:rPr>
        <w:t>بظاهره</w:t>
      </w:r>
      <w:proofErr w:type="spellEnd"/>
      <w:r w:rsidRPr="00051881">
        <w:rPr>
          <w:b/>
          <w:bCs/>
          <w:sz w:val="18"/>
          <w:szCs w:val="18"/>
          <w:rtl/>
        </w:rPr>
        <w:t xml:space="preserve"> على نسبة النصب للفعل المضارع إلى حتى، من غير إشارة إلى "أنْ" من قريب أو من بعيد، غير أن الأمر كما أوضح ابن جني أنه قد تكرر من قول سيبويه أن حتى من حروف الجر، وهذا نافٍ لكونها </w:t>
      </w:r>
      <w:proofErr w:type="spellStart"/>
      <w:r w:rsidRPr="00051881">
        <w:rPr>
          <w:b/>
          <w:bCs/>
          <w:sz w:val="18"/>
          <w:szCs w:val="18"/>
          <w:rtl/>
        </w:rPr>
        <w:t>ناصبة</w:t>
      </w:r>
      <w:proofErr w:type="spellEnd"/>
      <w:r w:rsidRPr="00051881">
        <w:rPr>
          <w:b/>
          <w:bCs/>
          <w:sz w:val="18"/>
          <w:szCs w:val="18"/>
          <w:rtl/>
        </w:rPr>
        <w:t xml:space="preserve"> للفعل المضارع من حيث كانت عوامل الأسماء لا تُباشر الأفعال، فضلًا عن أن تعمل فيها، كما استقر من قوله في غير موضع: "ذكر عدة الحروف </w:t>
      </w:r>
      <w:proofErr w:type="spellStart"/>
      <w:r w:rsidRPr="00051881">
        <w:rPr>
          <w:b/>
          <w:bCs/>
          <w:sz w:val="18"/>
          <w:szCs w:val="18"/>
          <w:rtl/>
        </w:rPr>
        <w:t>الناصبة</w:t>
      </w:r>
      <w:proofErr w:type="spellEnd"/>
      <w:r w:rsidRPr="00051881">
        <w:rPr>
          <w:b/>
          <w:bCs/>
          <w:sz w:val="18"/>
          <w:szCs w:val="18"/>
          <w:rtl/>
        </w:rPr>
        <w:t xml:space="preserve"> للفعل"، وليست فيها حتى، فعُلم بذلك وبنصه على أن أنْ هي </w:t>
      </w:r>
      <w:proofErr w:type="spellStart"/>
      <w:r w:rsidRPr="00051881">
        <w:rPr>
          <w:b/>
          <w:bCs/>
          <w:sz w:val="18"/>
          <w:szCs w:val="18"/>
          <w:rtl/>
        </w:rPr>
        <w:t>الناصبة</w:t>
      </w:r>
      <w:proofErr w:type="spellEnd"/>
      <w:r w:rsidRPr="00051881">
        <w:rPr>
          <w:b/>
          <w:bCs/>
          <w:sz w:val="18"/>
          <w:szCs w:val="18"/>
          <w:rtl/>
        </w:rPr>
        <w:t xml:space="preserve"> مضمرة بعد حتى أن المذهب </w:t>
      </w:r>
      <w:proofErr w:type="spellStart"/>
      <w:r w:rsidRPr="00051881">
        <w:rPr>
          <w:b/>
          <w:bCs/>
          <w:sz w:val="18"/>
          <w:szCs w:val="18"/>
          <w:rtl/>
        </w:rPr>
        <w:t>والأجرى</w:t>
      </w:r>
      <w:proofErr w:type="spellEnd"/>
      <w:r w:rsidRPr="00051881">
        <w:rPr>
          <w:b/>
          <w:bCs/>
          <w:sz w:val="18"/>
          <w:szCs w:val="18"/>
          <w:rtl/>
        </w:rPr>
        <w:t xml:space="preserve"> على قوانينه، أن حتى من حروف الجر، وأن الناصب بعدها أنْ مضمرة وجوبًا. ومن هنا فقد حرص ابن جني على إزالة هذا التعارض الظاهر بين القولين بتأويل القول الثاني فقال: "ووجه القول في الجمع بين القولين بالتأويل أن الفعل لما انتصب بعد حتى، ولم تظهر هناك أنْ، وصارت حتى عوضًا منها ونائبة عنها؛ نسب –أي: سيبويه- النصب إلى حتى، وإن كان في الحقيقة لـ: أنْ". انتهى.</w:t>
      </w:r>
    </w:p>
    <w:p w:rsidR="00891935" w:rsidRDefault="00891935" w:rsidP="00BC33C6">
      <w:pPr>
        <w:jc w:val="center"/>
        <w:rPr>
          <w:b/>
          <w:bCs/>
          <w:sz w:val="18"/>
          <w:szCs w:val="18"/>
          <w:rtl/>
        </w:rPr>
      </w:pPr>
      <w:r w:rsidRPr="00D20229">
        <w:rPr>
          <w:b/>
          <w:bCs/>
          <w:sz w:val="18"/>
          <w:szCs w:val="18"/>
          <w:rtl/>
        </w:rPr>
        <w:t>المراجع والمصادر</w:t>
      </w:r>
    </w:p>
    <w:p w:rsidR="00891935" w:rsidRPr="00D20229" w:rsidRDefault="00891935" w:rsidP="00BC33C6">
      <w:pPr>
        <w:jc w:val="center"/>
        <w:rPr>
          <w:b/>
          <w:bCs/>
          <w:sz w:val="18"/>
          <w:szCs w:val="18"/>
          <w:rtl/>
        </w:rPr>
      </w:pPr>
    </w:p>
    <w:p w:rsidR="00891935" w:rsidRPr="00D20229" w:rsidRDefault="00891935" w:rsidP="00BC33C6">
      <w:pPr>
        <w:numPr>
          <w:ilvl w:val="0"/>
          <w:numId w:val="1"/>
        </w:numPr>
        <w:jc w:val="lowKashida"/>
        <w:rPr>
          <w:b/>
          <w:bCs/>
          <w:sz w:val="18"/>
          <w:szCs w:val="18"/>
          <w:rtl/>
        </w:rPr>
      </w:pPr>
      <w:r>
        <w:rPr>
          <w:b/>
          <w:bCs/>
          <w:sz w:val="18"/>
          <w:szCs w:val="18"/>
          <w:rtl/>
        </w:rPr>
        <w:t xml:space="preserve">السيوطي، </w:t>
      </w:r>
      <w:r w:rsidRPr="00D20229">
        <w:rPr>
          <w:b/>
          <w:bCs/>
          <w:sz w:val="18"/>
          <w:szCs w:val="18"/>
          <w:rtl/>
        </w:rPr>
        <w:t xml:space="preserve">جلال الدين عبد الرحمن السيوطي، (الاقتراح في علم أصول النحو) ،تحقيق طه عبد </w:t>
      </w:r>
      <w:proofErr w:type="spellStart"/>
      <w:r w:rsidRPr="00D20229">
        <w:rPr>
          <w:b/>
          <w:bCs/>
          <w:sz w:val="18"/>
          <w:szCs w:val="18"/>
          <w:rtl/>
        </w:rPr>
        <w:t>الرؤوف</w:t>
      </w:r>
      <w:proofErr w:type="spellEnd"/>
      <w:r w:rsidRPr="00D20229">
        <w:rPr>
          <w:b/>
          <w:bCs/>
          <w:sz w:val="18"/>
          <w:szCs w:val="18"/>
          <w:rtl/>
        </w:rPr>
        <w:t xml:space="preserve"> سعد، مكتبة الصفا، 1999م</w:t>
      </w:r>
    </w:p>
    <w:p w:rsidR="00891935" w:rsidRPr="00D20229" w:rsidRDefault="00891935" w:rsidP="00BC33C6">
      <w:pPr>
        <w:numPr>
          <w:ilvl w:val="0"/>
          <w:numId w:val="1"/>
        </w:numPr>
        <w:jc w:val="lowKashida"/>
        <w:rPr>
          <w:b/>
          <w:bCs/>
          <w:sz w:val="18"/>
          <w:szCs w:val="18"/>
          <w:rtl/>
        </w:rPr>
      </w:pPr>
      <w:r w:rsidRPr="00D20229">
        <w:rPr>
          <w:b/>
          <w:bCs/>
          <w:sz w:val="18"/>
          <w:szCs w:val="18"/>
          <w:rtl/>
        </w:rPr>
        <w:t>محمود فجال، (الإصباح في شرح الاقتراح) ،دمشق، دار القلم، 1989م</w:t>
      </w:r>
      <w:r>
        <w:rPr>
          <w:b/>
          <w:bCs/>
          <w:sz w:val="18"/>
          <w:szCs w:val="18"/>
          <w:rtl/>
        </w:rPr>
        <w:t>.</w:t>
      </w:r>
    </w:p>
    <w:p w:rsidR="00891935" w:rsidRPr="00D20229" w:rsidRDefault="00891935" w:rsidP="00BC33C6">
      <w:pPr>
        <w:numPr>
          <w:ilvl w:val="0"/>
          <w:numId w:val="1"/>
        </w:numPr>
        <w:jc w:val="lowKashida"/>
        <w:rPr>
          <w:b/>
          <w:bCs/>
          <w:sz w:val="18"/>
          <w:szCs w:val="18"/>
          <w:rtl/>
        </w:rPr>
      </w:pPr>
      <w:r w:rsidRPr="00D20229">
        <w:rPr>
          <w:b/>
          <w:bCs/>
          <w:sz w:val="18"/>
          <w:szCs w:val="18"/>
          <w:rtl/>
        </w:rPr>
        <w:t>عثمان بن جني، (الخصائص) ،تحقيق محمد علي النجار، دار الكتاب العربي، 1953م</w:t>
      </w:r>
      <w:r>
        <w:rPr>
          <w:b/>
          <w:bCs/>
          <w:sz w:val="18"/>
          <w:szCs w:val="18"/>
          <w:rtl/>
        </w:rPr>
        <w:t>.</w:t>
      </w:r>
    </w:p>
    <w:p w:rsidR="00891935" w:rsidRPr="00D20229" w:rsidRDefault="00891935" w:rsidP="00BC33C6">
      <w:pPr>
        <w:numPr>
          <w:ilvl w:val="0"/>
          <w:numId w:val="1"/>
        </w:numPr>
        <w:jc w:val="lowKashida"/>
        <w:rPr>
          <w:b/>
          <w:bCs/>
          <w:sz w:val="18"/>
          <w:szCs w:val="18"/>
        </w:rPr>
      </w:pPr>
      <w:r w:rsidRPr="00D20229">
        <w:rPr>
          <w:b/>
          <w:bCs/>
          <w:sz w:val="18"/>
          <w:szCs w:val="18"/>
          <w:rtl/>
        </w:rPr>
        <w:t xml:space="preserve">أبي البركات </w:t>
      </w:r>
      <w:proofErr w:type="spellStart"/>
      <w:r w:rsidRPr="00D20229">
        <w:rPr>
          <w:b/>
          <w:bCs/>
          <w:sz w:val="18"/>
          <w:szCs w:val="18"/>
          <w:rtl/>
        </w:rPr>
        <w:t>الأنباري</w:t>
      </w:r>
      <w:proofErr w:type="spellEnd"/>
      <w:r w:rsidRPr="00D20229">
        <w:rPr>
          <w:b/>
          <w:bCs/>
          <w:sz w:val="18"/>
          <w:szCs w:val="18"/>
          <w:rtl/>
        </w:rPr>
        <w:t xml:space="preserve"> ، (الإغراب في جدول الإعراب) ،تحقيق سعيد الأفغاني ، مطبعة الجامعة السورية، 1957م</w:t>
      </w:r>
    </w:p>
    <w:p w:rsidR="00891935" w:rsidRPr="00D20229" w:rsidRDefault="00891935" w:rsidP="00BC33C6">
      <w:pPr>
        <w:numPr>
          <w:ilvl w:val="0"/>
          <w:numId w:val="1"/>
        </w:numPr>
        <w:jc w:val="lowKashida"/>
        <w:rPr>
          <w:b/>
          <w:bCs/>
          <w:sz w:val="18"/>
          <w:szCs w:val="18"/>
          <w:rtl/>
        </w:rPr>
      </w:pPr>
      <w:r>
        <w:rPr>
          <w:b/>
          <w:bCs/>
          <w:sz w:val="18"/>
          <w:szCs w:val="18"/>
          <w:rtl/>
        </w:rPr>
        <w:t xml:space="preserve">الأفغاني، </w:t>
      </w:r>
      <w:r w:rsidRPr="00D20229">
        <w:rPr>
          <w:b/>
          <w:bCs/>
          <w:sz w:val="18"/>
          <w:szCs w:val="18"/>
          <w:rtl/>
        </w:rPr>
        <w:t>سعيد الأفغاني، (في أصول النحو)</w:t>
      </w:r>
      <w:r>
        <w:rPr>
          <w:b/>
          <w:bCs/>
          <w:sz w:val="18"/>
          <w:szCs w:val="18"/>
          <w:rtl/>
        </w:rPr>
        <w:t xml:space="preserve"> ،بيروت، المكتب الإسلامي، 1987م.</w:t>
      </w:r>
    </w:p>
    <w:p w:rsidR="00891935" w:rsidRPr="00D20229" w:rsidRDefault="00891935" w:rsidP="00BC33C6">
      <w:pPr>
        <w:numPr>
          <w:ilvl w:val="0"/>
          <w:numId w:val="1"/>
        </w:numPr>
        <w:jc w:val="lowKashida"/>
        <w:rPr>
          <w:b/>
          <w:bCs/>
          <w:sz w:val="18"/>
          <w:szCs w:val="18"/>
          <w:rtl/>
        </w:rPr>
      </w:pPr>
      <w:r>
        <w:rPr>
          <w:b/>
          <w:bCs/>
          <w:sz w:val="18"/>
          <w:szCs w:val="18"/>
          <w:rtl/>
        </w:rPr>
        <w:t xml:space="preserve">سيبويه، </w:t>
      </w:r>
      <w:r w:rsidRPr="00D20229">
        <w:rPr>
          <w:b/>
          <w:bCs/>
          <w:sz w:val="18"/>
          <w:szCs w:val="18"/>
          <w:rtl/>
        </w:rPr>
        <w:t xml:space="preserve">عمرو بن عثمان بن </w:t>
      </w:r>
      <w:proofErr w:type="spellStart"/>
      <w:r w:rsidRPr="00D20229">
        <w:rPr>
          <w:b/>
          <w:bCs/>
          <w:sz w:val="18"/>
          <w:szCs w:val="18"/>
          <w:rtl/>
        </w:rPr>
        <w:t>قنبر</w:t>
      </w:r>
      <w:proofErr w:type="spellEnd"/>
      <w:r w:rsidRPr="00D20229">
        <w:rPr>
          <w:b/>
          <w:bCs/>
          <w:sz w:val="18"/>
          <w:szCs w:val="18"/>
          <w:rtl/>
        </w:rPr>
        <w:t xml:space="preserve"> سيبويه، (كتاب سيبويه) ،تحقيق عبد السلام هارون، الهيئة المصرية العامة للكتاب،  1977م</w:t>
      </w:r>
      <w:r>
        <w:rPr>
          <w:b/>
          <w:bCs/>
          <w:sz w:val="18"/>
          <w:szCs w:val="18"/>
          <w:rtl/>
        </w:rPr>
        <w:t>.</w:t>
      </w:r>
    </w:p>
    <w:p w:rsidR="00891935" w:rsidRPr="00D20229" w:rsidRDefault="00891935" w:rsidP="00BC33C6">
      <w:pPr>
        <w:numPr>
          <w:ilvl w:val="0"/>
          <w:numId w:val="1"/>
        </w:numPr>
        <w:jc w:val="lowKashida"/>
        <w:rPr>
          <w:b/>
          <w:bCs/>
          <w:sz w:val="18"/>
          <w:szCs w:val="18"/>
          <w:rtl/>
        </w:rPr>
      </w:pPr>
      <w:proofErr w:type="spellStart"/>
      <w:r>
        <w:rPr>
          <w:b/>
          <w:bCs/>
          <w:sz w:val="18"/>
          <w:szCs w:val="18"/>
          <w:rtl/>
        </w:rPr>
        <w:t>الأنباري</w:t>
      </w:r>
      <w:proofErr w:type="spellEnd"/>
      <w:r>
        <w:rPr>
          <w:b/>
          <w:bCs/>
          <w:sz w:val="18"/>
          <w:szCs w:val="18"/>
          <w:rtl/>
        </w:rPr>
        <w:t xml:space="preserve">، </w:t>
      </w:r>
      <w:r w:rsidRPr="00D20229">
        <w:rPr>
          <w:b/>
          <w:bCs/>
          <w:sz w:val="18"/>
          <w:szCs w:val="18"/>
          <w:rtl/>
        </w:rPr>
        <w:t xml:space="preserve">أبي البركات </w:t>
      </w:r>
      <w:proofErr w:type="spellStart"/>
      <w:r w:rsidRPr="00D20229">
        <w:rPr>
          <w:b/>
          <w:bCs/>
          <w:sz w:val="18"/>
          <w:szCs w:val="18"/>
          <w:rtl/>
        </w:rPr>
        <w:t>الأنباري</w:t>
      </w:r>
      <w:proofErr w:type="spellEnd"/>
      <w:r w:rsidRPr="00D20229">
        <w:rPr>
          <w:b/>
          <w:bCs/>
          <w:sz w:val="18"/>
          <w:szCs w:val="18"/>
          <w:rtl/>
        </w:rPr>
        <w:t xml:space="preserve">،  (لمع الأدلة في أصول النحو) ،تحقيق سعيد الأفغاني،  مطبعة الجامعة </w:t>
      </w:r>
      <w:proofErr w:type="spellStart"/>
      <w:r w:rsidRPr="00D20229">
        <w:rPr>
          <w:b/>
          <w:bCs/>
          <w:sz w:val="18"/>
          <w:szCs w:val="18"/>
          <w:rtl/>
        </w:rPr>
        <w:t>السوورية</w:t>
      </w:r>
      <w:proofErr w:type="spellEnd"/>
      <w:r w:rsidRPr="00D20229">
        <w:rPr>
          <w:b/>
          <w:bCs/>
          <w:sz w:val="18"/>
          <w:szCs w:val="18"/>
          <w:rtl/>
        </w:rPr>
        <w:t>،  1957م</w:t>
      </w:r>
      <w:r>
        <w:rPr>
          <w:b/>
          <w:bCs/>
          <w:sz w:val="18"/>
          <w:szCs w:val="18"/>
          <w:rtl/>
        </w:rPr>
        <w:t>.</w:t>
      </w:r>
    </w:p>
    <w:p w:rsidR="00891935" w:rsidRPr="00D20229" w:rsidRDefault="00891935" w:rsidP="00BC33C6">
      <w:pPr>
        <w:numPr>
          <w:ilvl w:val="0"/>
          <w:numId w:val="1"/>
        </w:numPr>
        <w:jc w:val="lowKashida"/>
        <w:rPr>
          <w:b/>
          <w:bCs/>
          <w:sz w:val="18"/>
          <w:szCs w:val="18"/>
        </w:rPr>
      </w:pPr>
      <w:r>
        <w:rPr>
          <w:b/>
          <w:bCs/>
          <w:sz w:val="18"/>
          <w:szCs w:val="18"/>
          <w:rtl/>
        </w:rPr>
        <w:t xml:space="preserve">الأفغاني، </w:t>
      </w:r>
      <w:r w:rsidRPr="00D20229">
        <w:rPr>
          <w:b/>
          <w:bCs/>
          <w:sz w:val="18"/>
          <w:szCs w:val="18"/>
          <w:rtl/>
        </w:rPr>
        <w:t>سعيد الأفغاني، (من تاريخ النحو) ، دار الفكر، 1978م</w:t>
      </w:r>
    </w:p>
    <w:p w:rsidR="00891935" w:rsidRPr="00D20229" w:rsidRDefault="00891935" w:rsidP="00BC33C6">
      <w:pPr>
        <w:numPr>
          <w:ilvl w:val="0"/>
          <w:numId w:val="1"/>
        </w:numPr>
        <w:jc w:val="lowKashida"/>
        <w:rPr>
          <w:b/>
          <w:bCs/>
          <w:sz w:val="18"/>
          <w:szCs w:val="18"/>
        </w:rPr>
      </w:pPr>
      <w:r>
        <w:rPr>
          <w:b/>
          <w:bCs/>
          <w:sz w:val="18"/>
          <w:szCs w:val="18"/>
          <w:rtl/>
        </w:rPr>
        <w:t xml:space="preserve">المبارك، </w:t>
      </w:r>
      <w:r w:rsidRPr="00D20229">
        <w:rPr>
          <w:b/>
          <w:bCs/>
          <w:sz w:val="18"/>
          <w:szCs w:val="18"/>
          <w:rtl/>
        </w:rPr>
        <w:t>مازن المبارك، (النحو العربي  العلة النحوية نشأتها وتطورها) ،دار الفكر، 1981م</w:t>
      </w:r>
      <w:r>
        <w:rPr>
          <w:b/>
          <w:bCs/>
          <w:sz w:val="18"/>
          <w:szCs w:val="18"/>
          <w:rtl/>
        </w:rPr>
        <w:t>.</w:t>
      </w:r>
    </w:p>
    <w:p w:rsidR="00891935" w:rsidRPr="00051881" w:rsidRDefault="00891935" w:rsidP="00BC33C6">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891935" w:rsidRPr="00051881" w:rsidRDefault="00891935" w:rsidP="00051881">
      <w:pPr>
        <w:pStyle w:val="a3"/>
        <w:bidi/>
        <w:spacing w:before="0" w:beforeAutospacing="0" w:after="120" w:afterAutospacing="0" w:line="500" w:lineRule="exact"/>
        <w:jc w:val="lowKashida"/>
        <w:rPr>
          <w:sz w:val="32"/>
          <w:szCs w:val="32"/>
          <w:rtl/>
        </w:rPr>
      </w:pPr>
    </w:p>
    <w:p w:rsidR="00891935" w:rsidRPr="001D6929" w:rsidRDefault="00891935" w:rsidP="00051881">
      <w:pPr>
        <w:spacing w:after="120" w:line="520" w:lineRule="exact"/>
        <w:jc w:val="lowKashida"/>
        <w:rPr>
          <w:sz w:val="32"/>
          <w:szCs w:val="32"/>
          <w:rtl/>
          <w:lang w:bidi="ar-SA"/>
        </w:rPr>
      </w:pPr>
    </w:p>
    <w:p w:rsidR="00891935" w:rsidRPr="001D6929" w:rsidRDefault="00891935" w:rsidP="00051881">
      <w:pPr>
        <w:spacing w:after="120" w:line="520" w:lineRule="exact"/>
        <w:jc w:val="lowKashida"/>
        <w:rPr>
          <w:sz w:val="32"/>
          <w:szCs w:val="32"/>
          <w:rtl/>
        </w:rPr>
      </w:pPr>
    </w:p>
    <w:p w:rsidR="00891935" w:rsidRDefault="00891935" w:rsidP="00051881">
      <w:pPr>
        <w:spacing w:before="60"/>
        <w:rPr>
          <w:i/>
          <w:iCs/>
          <w:sz w:val="48"/>
          <w:szCs w:val="48"/>
          <w:rtl/>
        </w:rPr>
        <w:sectPr w:rsidR="00891935" w:rsidSect="00051881">
          <w:type w:val="continuous"/>
          <w:pgSz w:w="11906" w:h="16838"/>
          <w:pgMar w:top="964" w:right="1021" w:bottom="964" w:left="1021" w:header="709" w:footer="709" w:gutter="0"/>
          <w:cols w:num="2" w:space="708"/>
          <w:bidi/>
          <w:rtlGutter/>
          <w:docGrid w:linePitch="360"/>
        </w:sectPr>
      </w:pPr>
    </w:p>
    <w:p w:rsidR="00891935" w:rsidRPr="00051881" w:rsidRDefault="00891935" w:rsidP="00051881">
      <w:pPr>
        <w:spacing w:before="60"/>
        <w:rPr>
          <w:i/>
          <w:iCs/>
          <w:sz w:val="48"/>
          <w:szCs w:val="48"/>
          <w:rtl/>
        </w:rPr>
      </w:pPr>
    </w:p>
    <w:p w:rsidR="00891935" w:rsidRDefault="00891935"/>
    <w:sectPr w:rsidR="00891935" w:rsidSect="0005188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51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75715"/>
    <w:multiLevelType w:val="hybridMultilevel"/>
    <w:tmpl w:val="F7AAF3A2"/>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881"/>
    <w:rsid w:val="00051881"/>
    <w:rsid w:val="00174AE4"/>
    <w:rsid w:val="001D6929"/>
    <w:rsid w:val="00265F56"/>
    <w:rsid w:val="00266A6A"/>
    <w:rsid w:val="00294A2D"/>
    <w:rsid w:val="004E5FEF"/>
    <w:rsid w:val="00514443"/>
    <w:rsid w:val="00757B14"/>
    <w:rsid w:val="007E277A"/>
    <w:rsid w:val="00872FB5"/>
    <w:rsid w:val="00891935"/>
    <w:rsid w:val="0089766D"/>
    <w:rsid w:val="009556CB"/>
    <w:rsid w:val="00B43F63"/>
    <w:rsid w:val="00B738C1"/>
    <w:rsid w:val="00BC33C6"/>
    <w:rsid w:val="00BF7572"/>
    <w:rsid w:val="00D20229"/>
    <w:rsid w:val="00E5649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81"/>
    <w:pPr>
      <w:bidi/>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051881"/>
    <w:rPr>
      <w:rFonts w:cs="Times New Roman"/>
      <w:color w:val="0000FF"/>
      <w:u w:val="single"/>
    </w:rPr>
  </w:style>
  <w:style w:type="paragraph" w:styleId="a3">
    <w:name w:val="Normal (Web)"/>
    <w:basedOn w:val="a"/>
    <w:uiPriority w:val="99"/>
    <w:rsid w:val="00051881"/>
    <w:pPr>
      <w:bidi w:val="0"/>
      <w:spacing w:before="100" w:beforeAutospacing="1" w:after="100" w:afterAutospacing="1"/>
    </w:pPr>
    <w:rPr>
      <w:lang w:bidi="ar-SA"/>
    </w:rPr>
  </w:style>
  <w:style w:type="paragraph" w:styleId="a4">
    <w:name w:val="List Paragraph"/>
    <w:basedOn w:val="a"/>
    <w:uiPriority w:val="99"/>
    <w:qFormat/>
    <w:rsid w:val="0005188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2013-06-11T14:46:00Z</dcterms:created>
  <dcterms:modified xsi:type="dcterms:W3CDTF">2013-06-19T13:00:00Z</dcterms:modified>
</cp:coreProperties>
</file>