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9D" w:rsidRDefault="00940F9D" w:rsidP="00D413D9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0F0318">
        <w:rPr>
          <w:rFonts w:ascii="Times New Roman" w:hAnsi="Times New Roman" w:cs="Times New Roman"/>
          <w:i/>
          <w:iCs/>
          <w:sz w:val="48"/>
          <w:szCs w:val="48"/>
          <w:rtl/>
        </w:rPr>
        <w:t>القول بالموجب</w:t>
      </w:r>
    </w:p>
    <w:p w:rsidR="00940F9D" w:rsidRPr="00294A2D" w:rsidRDefault="00940F9D" w:rsidP="00D413D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بحث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فى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اصول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النحو</w:t>
      </w:r>
    </w:p>
    <w:p w:rsidR="00940F9D" w:rsidRPr="00294A2D" w:rsidRDefault="00940F9D" w:rsidP="00023017">
      <w:pPr>
        <w:spacing w:line="240" w:lineRule="auto"/>
        <w:jc w:val="center"/>
        <w:rPr>
          <w:rFonts w:ascii="Times New Roman" w:hAnsi="Times New Roman" w:cs="Times New Roman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023017" w:rsidRPr="00023017">
        <w:rPr>
          <w:rFonts w:ascii="Times New Roman" w:hAnsi="Times New Roman" w:cs="Times New Roman"/>
          <w:i/>
          <w:iCs/>
          <w:rtl/>
        </w:rPr>
        <w:t>أيمن محمد أبو</w:t>
      </w:r>
      <w:r w:rsidR="00023017" w:rsidRPr="00023017">
        <w:rPr>
          <w:rFonts w:ascii="Times New Roman" w:hAnsi="Times New Roman" w:cs="Times New Roman" w:hint="cs"/>
          <w:i/>
          <w:iCs/>
          <w:rtl/>
        </w:rPr>
        <w:t xml:space="preserve"> </w:t>
      </w:r>
      <w:r w:rsidR="00023017" w:rsidRPr="00023017">
        <w:rPr>
          <w:rFonts w:ascii="Times New Roman" w:hAnsi="Times New Roman" w:cs="Times New Roman"/>
          <w:i/>
          <w:iCs/>
          <w:rtl/>
        </w:rPr>
        <w:t>بكر</w:t>
      </w:r>
    </w:p>
    <w:p w:rsidR="00940F9D" w:rsidRPr="0089766D" w:rsidRDefault="00940F9D" w:rsidP="00D413D9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940F9D" w:rsidRPr="0089766D" w:rsidRDefault="00940F9D" w:rsidP="00D413D9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940F9D" w:rsidRPr="0089766D" w:rsidRDefault="00940F9D" w:rsidP="00D413D9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940F9D" w:rsidRPr="0089766D" w:rsidRDefault="00023017" w:rsidP="00D413D9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23017">
        <w:rPr>
          <w:rFonts w:ascii="Times New Roman" w:hAnsi="Times New Roman" w:cs="Times New Roman"/>
          <w:i/>
          <w:iCs/>
          <w:sz w:val="20"/>
          <w:szCs w:val="20"/>
          <w:lang w:bidi="ar-EG"/>
        </w:rPr>
        <w:t>ayman.abobakr@mediu.ws</w:t>
      </w:r>
    </w:p>
    <w:p w:rsidR="00940F9D" w:rsidRDefault="00940F9D" w:rsidP="00D413D9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940F9D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940F9D" w:rsidRPr="00D413D9" w:rsidRDefault="00940F9D" w:rsidP="00D413D9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413D9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القول بالموجب</w:t>
      </w:r>
    </w:p>
    <w:p w:rsidR="00940F9D" w:rsidRPr="00D413D9" w:rsidRDefault="00940F9D" w:rsidP="00D413D9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413D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الكلمات </w:t>
      </w:r>
      <w:proofErr w:type="spellStart"/>
      <w:r w:rsidRPr="00D413D9">
        <w:rPr>
          <w:rFonts w:ascii="Times New Roman" w:hAnsi="Times New Roman" w:cs="Times New Roman"/>
          <w:b/>
          <w:bCs/>
          <w:sz w:val="18"/>
          <w:szCs w:val="18"/>
          <w:rtl/>
        </w:rPr>
        <w:t>المفتاحية</w:t>
      </w:r>
      <w:proofErr w:type="spellEnd"/>
      <w:r w:rsidRPr="00D413D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: الدليل ، عموم الصور ، العموم</w:t>
      </w:r>
    </w:p>
    <w:p w:rsidR="00940F9D" w:rsidRPr="00D413D9" w:rsidRDefault="00940F9D" w:rsidP="00D413D9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D413D9">
        <w:rPr>
          <w:b/>
          <w:bCs/>
          <w:sz w:val="18"/>
          <w:szCs w:val="18"/>
          <w:rtl/>
        </w:rPr>
        <w:t>المقدمة</w:t>
      </w:r>
    </w:p>
    <w:p w:rsidR="00940F9D" w:rsidRPr="00D413D9" w:rsidRDefault="00940F9D" w:rsidP="00D413D9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D413D9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القول بالموجب</w:t>
      </w:r>
    </w:p>
    <w:p w:rsidR="00940F9D" w:rsidRPr="00D413D9" w:rsidRDefault="00940F9D" w:rsidP="00D413D9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D413D9">
        <w:rPr>
          <w:b/>
          <w:bCs/>
          <w:sz w:val="18"/>
          <w:szCs w:val="18"/>
          <w:rtl/>
        </w:rPr>
        <w:t>عنوان المقال</w:t>
      </w:r>
    </w:p>
    <w:p w:rsidR="00940F9D" w:rsidRPr="00D413D9" w:rsidRDefault="00940F9D" w:rsidP="00D413D9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D413D9">
        <w:rPr>
          <w:b/>
          <w:bCs/>
          <w:sz w:val="18"/>
          <w:szCs w:val="18"/>
          <w:rtl/>
        </w:rPr>
        <w:t xml:space="preserve">الموجب –بفتح الجيم- ما يقتضيه الدليل، أو هو المسبب، وبكسرها: الدليل نفسه، أو السبب، وقد ذكر السيوطي نقلًا عن أبي البركات </w:t>
      </w:r>
      <w:proofErr w:type="spellStart"/>
      <w:r w:rsidRPr="00D413D9">
        <w:rPr>
          <w:b/>
          <w:bCs/>
          <w:sz w:val="18"/>
          <w:szCs w:val="18"/>
          <w:rtl/>
        </w:rPr>
        <w:t>الأنباري</w:t>
      </w:r>
      <w:proofErr w:type="spellEnd"/>
      <w:r w:rsidRPr="00D413D9">
        <w:rPr>
          <w:b/>
          <w:bCs/>
          <w:sz w:val="18"/>
          <w:szCs w:val="18"/>
          <w:rtl/>
        </w:rPr>
        <w:t xml:space="preserve"> قوله في (جدل الإعراب) معرفًا بالقول الموجب في اصطلاح علماء الأصول: "وهو أن يسلِّم للمستدل –أي: الخَصم- ما اتخذه موجبًا للعلة مع استبقاء الخلاف، أي: في المتنازع فيه، ومتى توجه –أي: الخلاف- في عموم الصور المختلف فيها كان المستدل منقطعًا، فإن توجه في بعض السور مع عموم العلة، لم يعدَّ منقطعًا. أي: لعموم علته لذلك وإن اختلف فيه، أي: في هذا العموم".</w:t>
      </w:r>
    </w:p>
    <w:p w:rsidR="00940F9D" w:rsidRPr="00D413D9" w:rsidRDefault="00940F9D" w:rsidP="00D413D9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D413D9">
        <w:rPr>
          <w:b/>
          <w:bCs/>
          <w:sz w:val="18"/>
          <w:szCs w:val="18"/>
          <w:rtl/>
        </w:rPr>
        <w:t xml:space="preserve">وضَرَبَ مثلًا لذلك، فقال: "مثل أن يستدل البصري على جواز تقديم الحال على عاملها الفعل المتصرف". هذه عبارة السيوطي. وعبارة </w:t>
      </w:r>
      <w:proofErr w:type="spellStart"/>
      <w:r w:rsidRPr="00D413D9">
        <w:rPr>
          <w:b/>
          <w:bCs/>
          <w:sz w:val="18"/>
          <w:szCs w:val="18"/>
          <w:rtl/>
        </w:rPr>
        <w:t>الأنباري</w:t>
      </w:r>
      <w:proofErr w:type="spellEnd"/>
      <w:r w:rsidRPr="00D413D9">
        <w:rPr>
          <w:b/>
          <w:bCs/>
          <w:sz w:val="18"/>
          <w:szCs w:val="18"/>
          <w:rtl/>
        </w:rPr>
        <w:t>: "مثل أن يستدل البصري على جواز تقديم الحال على العامل في الحال إذا كان العامل فيها فعلًا متصرفًا، وذو الحال –أي: وصاحب الحال- اسمًا ظاهرًا، نحو: راكبًا جاء زيد، فراكبًا حال، وجاء فعل ماض، وزيد فاعل، فالعامل في الحال –وهو جاء- فعل متصرف، فيكون عمله قويًّا، فيجوز تقديم الحال عليه، ولذلك قيل: راكبًا جاء زيد". قال ابن مالك:</w:t>
      </w:r>
    </w:p>
    <w:tbl>
      <w:tblPr>
        <w:bidiVisual/>
        <w:tblW w:w="0" w:type="auto"/>
        <w:jc w:val="center"/>
        <w:tblLook w:val="01E0"/>
      </w:tblPr>
      <w:tblGrid>
        <w:gridCol w:w="2243"/>
        <w:gridCol w:w="589"/>
        <w:gridCol w:w="2246"/>
      </w:tblGrid>
      <w:tr w:rsidR="00940F9D" w:rsidRPr="00FB34C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940F9D" w:rsidRPr="00FB34C6" w:rsidRDefault="00940F9D" w:rsidP="00FB34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والحال إن ينصب بفعل صرفا</w:t>
            </w: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940F9D" w:rsidRPr="00FB34C6" w:rsidRDefault="00940F9D" w:rsidP="00FB34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940F9D" w:rsidRPr="00FB34C6" w:rsidRDefault="00940F9D" w:rsidP="00FB34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أو صفة أشبهت </w:t>
            </w:r>
            <w:proofErr w:type="spellStart"/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المصرفا</w:t>
            </w:r>
            <w:proofErr w:type="spellEnd"/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940F9D" w:rsidRPr="00FB34C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940F9D" w:rsidRPr="00FB34C6" w:rsidRDefault="00940F9D" w:rsidP="00FB34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فجائز تقديمه </w:t>
            </w:r>
            <w:proofErr w:type="spellStart"/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كمسرعًا</w:t>
            </w:r>
            <w:proofErr w:type="spellEnd"/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940F9D" w:rsidRPr="00FB34C6" w:rsidRDefault="00940F9D" w:rsidP="00FB34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940F9D" w:rsidRPr="00FB34C6" w:rsidRDefault="00940F9D" w:rsidP="00FB34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ذا راحل ومُخلصًا زيد دَعَا</w:t>
            </w:r>
            <w:r w:rsidRPr="00FB34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940F9D" w:rsidRPr="00D413D9" w:rsidRDefault="00940F9D" w:rsidP="00D413D9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vanish/>
          <w:sz w:val="18"/>
          <w:szCs w:val="18"/>
        </w:rPr>
      </w:pPr>
    </w:p>
    <w:p w:rsidR="00940F9D" w:rsidRPr="00D413D9" w:rsidRDefault="00940F9D" w:rsidP="00D413D9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D413D9">
        <w:rPr>
          <w:b/>
          <w:bCs/>
          <w:sz w:val="18"/>
          <w:szCs w:val="18"/>
          <w:rtl/>
        </w:rPr>
        <w:t>ابن مالك أتى في البيت الثاني بمثالين:</w:t>
      </w:r>
    </w:p>
    <w:p w:rsidR="00940F9D" w:rsidRPr="00D413D9" w:rsidRDefault="00940F9D" w:rsidP="00D413D9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D413D9">
        <w:rPr>
          <w:b/>
          <w:bCs/>
          <w:color w:val="000080"/>
          <w:sz w:val="18"/>
          <w:szCs w:val="18"/>
          <w:rtl/>
        </w:rPr>
        <w:t xml:space="preserve">المثال الأول: </w:t>
      </w:r>
      <w:r w:rsidRPr="00D413D9">
        <w:rPr>
          <w:b/>
          <w:bCs/>
          <w:sz w:val="18"/>
          <w:szCs w:val="18"/>
          <w:rtl/>
        </w:rPr>
        <w:t>تقدمت فيها الحال والعامل في الحال لفظ راحل، وهو صفة متصرفة؛ لأنها اسم فاعل.</w:t>
      </w:r>
    </w:p>
    <w:p w:rsidR="00940F9D" w:rsidRPr="00D413D9" w:rsidRDefault="00940F9D" w:rsidP="0038380F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D413D9">
        <w:rPr>
          <w:b/>
          <w:bCs/>
          <w:color w:val="000080"/>
          <w:sz w:val="18"/>
          <w:szCs w:val="18"/>
          <w:rtl/>
        </w:rPr>
        <w:t>والمثال الثاني:</w:t>
      </w:r>
      <w:r w:rsidRPr="00D413D9">
        <w:rPr>
          <w:b/>
          <w:bCs/>
          <w:sz w:val="18"/>
          <w:szCs w:val="18"/>
          <w:rtl/>
        </w:rPr>
        <w:t xml:space="preserve"> مخلصًا زيد دعا، تقدم الحال، والعامل فعل متصرف وهو دعا، فشمل النوعين، فيقول –أي: البصري: جواز تقديم معمول الفعل المتصرف ثابت في غير </w:t>
      </w:r>
      <w:r w:rsidRPr="00D413D9">
        <w:rPr>
          <w:b/>
          <w:bCs/>
          <w:sz w:val="18"/>
          <w:szCs w:val="18"/>
          <w:rtl/>
        </w:rPr>
        <w:lastRenderedPageBreak/>
        <w:t>الحال، يعني: في نحو قوله تعالى:</w:t>
      </w:r>
      <w:r w:rsidRPr="00D413D9">
        <w:rPr>
          <w:b/>
          <w:bCs/>
          <w:color w:val="008000"/>
          <w:sz w:val="18"/>
          <w:szCs w:val="18"/>
          <w:rtl/>
        </w:rPr>
        <w:t xml:space="preserve"> {</w:t>
      </w:r>
      <w:r w:rsidRPr="0038380F">
        <w:rPr>
          <w:rFonts w:ascii="QCF_P596" w:hAnsi="QCF_P596" w:cs="QCF_P596"/>
          <w:color w:val="008000"/>
          <w:sz w:val="30"/>
          <w:szCs w:val="30"/>
          <w:rtl/>
        </w:rPr>
        <w:t xml:space="preserve"> </w:t>
      </w:r>
      <w:r w:rsidRPr="0038380F">
        <w:rPr>
          <w:rFonts w:ascii="QCF_P596" w:hAnsi="QCF_P596" w:cs="QCF_P596"/>
          <w:color w:val="008000"/>
          <w:sz w:val="18"/>
          <w:szCs w:val="18"/>
          <w:rtl/>
        </w:rPr>
        <w:t>ﮖ ﮗ ﮘ ﮙ</w:t>
      </w:r>
      <w:r w:rsidRPr="00D413D9">
        <w:rPr>
          <w:b/>
          <w:bCs/>
          <w:color w:val="008000"/>
          <w:sz w:val="18"/>
          <w:szCs w:val="18"/>
          <w:rtl/>
        </w:rPr>
        <w:t xml:space="preserve">} </w:t>
      </w:r>
      <w:r w:rsidRPr="00D413D9">
        <w:rPr>
          <w:b/>
          <w:bCs/>
          <w:sz w:val="18"/>
          <w:szCs w:val="18"/>
          <w:rtl/>
        </w:rPr>
        <w:t xml:space="preserve">[الضحى: 9] فـ </w:t>
      </w:r>
      <w:r w:rsidRPr="00D413D9">
        <w:rPr>
          <w:b/>
          <w:bCs/>
          <w:color w:val="008000"/>
          <w:sz w:val="18"/>
          <w:szCs w:val="18"/>
          <w:rtl/>
        </w:rPr>
        <w:t>{</w:t>
      </w:r>
      <w:r w:rsidRPr="0038380F">
        <w:rPr>
          <w:rFonts w:ascii="QCF_P596" w:hAnsi="QCF_P596" w:cs="QCF_P596"/>
          <w:color w:val="008000"/>
          <w:sz w:val="18"/>
          <w:szCs w:val="18"/>
          <w:rtl/>
        </w:rPr>
        <w:t>ﮗ</w:t>
      </w:r>
      <w:r w:rsidRPr="00D413D9">
        <w:rPr>
          <w:b/>
          <w:bCs/>
          <w:color w:val="008000"/>
          <w:sz w:val="18"/>
          <w:szCs w:val="18"/>
          <w:rtl/>
        </w:rPr>
        <w:t xml:space="preserve"> }</w:t>
      </w:r>
      <w:r w:rsidRPr="00D413D9">
        <w:rPr>
          <w:b/>
          <w:bCs/>
          <w:sz w:val="18"/>
          <w:szCs w:val="18"/>
          <w:rtl/>
        </w:rPr>
        <w:t xml:space="preserve"> مفعول مقدم، وقد تقدم على عامله المتصرف، ونحو قوله –: </w:t>
      </w:r>
      <w:r w:rsidRPr="00D413D9">
        <w:rPr>
          <w:b/>
          <w:bCs/>
          <w:color w:val="008000"/>
          <w:sz w:val="18"/>
          <w:szCs w:val="18"/>
          <w:rtl/>
        </w:rPr>
        <w:t>{</w:t>
      </w:r>
      <w:r>
        <w:rPr>
          <w:rFonts w:ascii="QCF_P013" w:hAnsi="QCF_P013" w:cs="QCF_P013"/>
          <w:color w:val="008000"/>
          <w:sz w:val="18"/>
          <w:szCs w:val="18"/>
          <w:rtl/>
        </w:rPr>
        <w:t xml:space="preserve">ﯡ </w:t>
      </w:r>
      <w:r w:rsidRPr="0038380F">
        <w:rPr>
          <w:rFonts w:ascii="QCF_P013" w:hAnsi="QCF_P013" w:cs="QCF_P013"/>
          <w:color w:val="008000"/>
          <w:sz w:val="18"/>
          <w:szCs w:val="18"/>
          <w:rtl/>
        </w:rPr>
        <w:t>ﯢ</w:t>
      </w:r>
      <w:r w:rsidRPr="00D413D9">
        <w:rPr>
          <w:b/>
          <w:bCs/>
          <w:color w:val="008000"/>
          <w:sz w:val="18"/>
          <w:szCs w:val="18"/>
          <w:rtl/>
        </w:rPr>
        <w:t xml:space="preserve">} </w:t>
      </w:r>
      <w:r w:rsidRPr="00D413D9">
        <w:rPr>
          <w:b/>
          <w:bCs/>
          <w:sz w:val="18"/>
          <w:szCs w:val="18"/>
          <w:rtl/>
        </w:rPr>
        <w:t xml:space="preserve">[البقرة: 87] </w:t>
      </w:r>
      <w:r w:rsidRPr="00D413D9">
        <w:rPr>
          <w:b/>
          <w:bCs/>
          <w:color w:val="008000"/>
          <w:sz w:val="18"/>
          <w:szCs w:val="18"/>
          <w:rtl/>
        </w:rPr>
        <w:t>{</w:t>
      </w:r>
      <w:r w:rsidRPr="0038380F">
        <w:rPr>
          <w:rFonts w:ascii="QCF_P013" w:hAnsi="QCF_P013" w:cs="QCF_P013"/>
          <w:color w:val="008000"/>
          <w:sz w:val="30"/>
          <w:szCs w:val="30"/>
          <w:rtl/>
        </w:rPr>
        <w:t xml:space="preserve"> </w:t>
      </w:r>
      <w:r w:rsidRPr="0038380F">
        <w:rPr>
          <w:rFonts w:ascii="QCF_P013" w:hAnsi="QCF_P013" w:cs="QCF_P013"/>
          <w:color w:val="008000"/>
          <w:sz w:val="18"/>
          <w:szCs w:val="18"/>
          <w:rtl/>
        </w:rPr>
        <w:t>ﯡ</w:t>
      </w:r>
      <w:r w:rsidRPr="00D413D9">
        <w:rPr>
          <w:b/>
          <w:bCs/>
          <w:color w:val="008000"/>
          <w:sz w:val="18"/>
          <w:szCs w:val="18"/>
          <w:rtl/>
        </w:rPr>
        <w:t>}</w:t>
      </w:r>
      <w:r w:rsidRPr="00D413D9">
        <w:rPr>
          <w:b/>
          <w:bCs/>
          <w:sz w:val="18"/>
          <w:szCs w:val="18"/>
          <w:rtl/>
        </w:rPr>
        <w:t xml:space="preserve"> مفعول </w:t>
      </w:r>
      <w:proofErr w:type="spellStart"/>
      <w:r w:rsidRPr="00D413D9">
        <w:rPr>
          <w:b/>
          <w:bCs/>
          <w:sz w:val="18"/>
          <w:szCs w:val="18"/>
          <w:rtl/>
        </w:rPr>
        <w:t>به</w:t>
      </w:r>
      <w:proofErr w:type="spellEnd"/>
      <w:r w:rsidRPr="00D413D9">
        <w:rPr>
          <w:b/>
          <w:bCs/>
          <w:sz w:val="18"/>
          <w:szCs w:val="18"/>
          <w:rtl/>
        </w:rPr>
        <w:t xml:space="preserve"> مقدم، وقد تقدم على عامله الفعلي المتصرف، وما لا يحصَى من المفاعيل، فكذلك في الحال، أي: كغيره من </w:t>
      </w:r>
      <w:proofErr w:type="spellStart"/>
      <w:r w:rsidRPr="00D413D9">
        <w:rPr>
          <w:b/>
          <w:bCs/>
          <w:sz w:val="18"/>
          <w:szCs w:val="18"/>
          <w:rtl/>
        </w:rPr>
        <w:t>المنصوبات</w:t>
      </w:r>
      <w:proofErr w:type="spellEnd"/>
      <w:r w:rsidRPr="00D413D9">
        <w:rPr>
          <w:b/>
          <w:bCs/>
          <w:sz w:val="18"/>
          <w:szCs w:val="18"/>
          <w:rtl/>
        </w:rPr>
        <w:t>.</w:t>
      </w:r>
    </w:p>
    <w:p w:rsidR="00940F9D" w:rsidRPr="00D413D9" w:rsidRDefault="00940F9D" w:rsidP="00D413D9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D413D9">
        <w:rPr>
          <w:b/>
          <w:bCs/>
          <w:sz w:val="18"/>
          <w:szCs w:val="18"/>
          <w:rtl/>
        </w:rPr>
        <w:t xml:space="preserve">فيقول له الكوفي: أنا أقول بموجبه، فإن الحال يجوز تقديمها عندي إذا كان ذو الحال مضمرًا، أي: إذا كان صاحب الحال مضمرًا، نحو: راكبًا جئتُ، فراكبًا حال، وقد تقدمت على العامل، لكن صاحب الحال هنا مضمر وليس اسمًا ظاهرًا، وهو الضمير: تاء الفاعل، دونما إذا كان صاحب الحال مظهرًا. لماذا؟ لئلا يؤدي ذلك إلى الإضمار قبل الذكر، أي: وذلك عندي –أنا الكوفي- ممنوع. والجواب: أن يقدر العلة على وجه لا يمكنه القول بالموجب، بأن يقول: عنيت </w:t>
      </w:r>
      <w:proofErr w:type="spellStart"/>
      <w:r w:rsidRPr="00D413D9">
        <w:rPr>
          <w:b/>
          <w:bCs/>
          <w:sz w:val="18"/>
          <w:szCs w:val="18"/>
          <w:rtl/>
        </w:rPr>
        <w:t>به</w:t>
      </w:r>
      <w:proofErr w:type="spellEnd"/>
      <w:r w:rsidRPr="00D413D9">
        <w:rPr>
          <w:b/>
          <w:bCs/>
          <w:sz w:val="18"/>
          <w:szCs w:val="18"/>
          <w:rtl/>
        </w:rPr>
        <w:t xml:space="preserve"> ما وقع الخلاف فيه، وعرفته بالألف واللام، فتناوله وانصرف إليه.</w:t>
      </w:r>
    </w:p>
    <w:p w:rsidR="00940F9D" w:rsidRPr="00D20229" w:rsidRDefault="00940F9D" w:rsidP="008C1CF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جلال الدين عبد الرحمن السيوطي، (الاقتراح في علم أصول النحو) ،تحقيق طه عبد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الرؤوف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سعد، مكتبة الصفا، 1999م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(الإغراب في جدول الإعراب) ،تحقيق سعيد الأفغاني ، مطبعة الجامعة السورية، 1957م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عمرو بن عثمان بن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قنبر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 (لمع الأدلة في أصول النحو) ،تحقيق سعيد الأفغاني،  مطبعة الجامعة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السوورية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940F9D" w:rsidRPr="00D20229" w:rsidRDefault="00940F9D" w:rsidP="008C1CF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940F9D" w:rsidRPr="00D413D9" w:rsidRDefault="00940F9D" w:rsidP="008C1CFA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940F9D" w:rsidRDefault="00940F9D" w:rsidP="00D413D9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  <w:sectPr w:rsidR="00940F9D" w:rsidSect="00537FFD">
          <w:type w:val="continuous"/>
          <w:pgSz w:w="11906" w:h="16838"/>
          <w:pgMar w:top="1077" w:right="737" w:bottom="2432" w:left="737" w:header="709" w:footer="709" w:gutter="0"/>
          <w:cols w:num="2" w:space="708"/>
          <w:bidi/>
          <w:rtlGutter/>
          <w:docGrid w:linePitch="360"/>
        </w:sectPr>
      </w:pPr>
    </w:p>
    <w:p w:rsidR="00940F9D" w:rsidRDefault="00940F9D" w:rsidP="00537FFD"/>
    <w:sectPr w:rsidR="00940F9D" w:rsidSect="00537FFD">
      <w:type w:val="continuous"/>
      <w:pgSz w:w="11906" w:h="16838"/>
      <w:pgMar w:top="1077" w:right="737" w:bottom="2432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5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C2B"/>
    <w:multiLevelType w:val="hybridMultilevel"/>
    <w:tmpl w:val="EA1CFCAE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3D9"/>
    <w:rsid w:val="00023017"/>
    <w:rsid w:val="00030E87"/>
    <w:rsid w:val="000F0318"/>
    <w:rsid w:val="001D6929"/>
    <w:rsid w:val="00294A2D"/>
    <w:rsid w:val="0038380F"/>
    <w:rsid w:val="004C07D6"/>
    <w:rsid w:val="00514443"/>
    <w:rsid w:val="00537FFD"/>
    <w:rsid w:val="00600C4F"/>
    <w:rsid w:val="006E0666"/>
    <w:rsid w:val="007C3788"/>
    <w:rsid w:val="0089766D"/>
    <w:rsid w:val="008C1CFA"/>
    <w:rsid w:val="008D0776"/>
    <w:rsid w:val="00940F9D"/>
    <w:rsid w:val="009556CB"/>
    <w:rsid w:val="0095782D"/>
    <w:rsid w:val="00BF7572"/>
    <w:rsid w:val="00D20229"/>
    <w:rsid w:val="00D413D9"/>
    <w:rsid w:val="00DC5A93"/>
    <w:rsid w:val="00FB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3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D413D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413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5</cp:revision>
  <dcterms:created xsi:type="dcterms:W3CDTF">2013-06-11T10:21:00Z</dcterms:created>
  <dcterms:modified xsi:type="dcterms:W3CDTF">2013-06-19T13:02:00Z</dcterms:modified>
</cp:coreProperties>
</file>