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1F" w:rsidRDefault="00D2731F" w:rsidP="00412DF1">
      <w:pPr>
        <w:jc w:val="center"/>
        <w:rPr>
          <w:rtl/>
        </w:rPr>
      </w:pPr>
      <w:r w:rsidRPr="00712822">
        <w:rPr>
          <w:i/>
          <w:iCs/>
          <w:sz w:val="48"/>
          <w:szCs w:val="48"/>
          <w:rtl/>
        </w:rPr>
        <w:t>تعارض العلل</w:t>
      </w:r>
    </w:p>
    <w:p w:rsidR="00D2731F" w:rsidRPr="00294A2D" w:rsidRDefault="00D2731F" w:rsidP="00412DF1">
      <w:pPr>
        <w:jc w:val="center"/>
        <w:rPr>
          <w:i/>
          <w:iCs/>
          <w:sz w:val="28"/>
          <w:szCs w:val="28"/>
          <w:rtl/>
        </w:rPr>
      </w:pPr>
      <w:r w:rsidRPr="00294A2D">
        <w:rPr>
          <w:i/>
          <w:iCs/>
          <w:sz w:val="28"/>
          <w:szCs w:val="28"/>
          <w:rtl/>
        </w:rPr>
        <w:t>بحث  فى  اصول النحو</w:t>
      </w:r>
    </w:p>
    <w:p w:rsidR="00D2731F" w:rsidRPr="00294A2D" w:rsidRDefault="00D2731F" w:rsidP="003240F4">
      <w:pPr>
        <w:jc w:val="center"/>
        <w:rPr>
          <w:sz w:val="22"/>
          <w:szCs w:val="22"/>
        </w:rPr>
      </w:pPr>
      <w:r w:rsidRPr="00294A2D">
        <w:rPr>
          <w:sz w:val="22"/>
          <w:szCs w:val="22"/>
          <w:rtl/>
        </w:rPr>
        <w:t xml:space="preserve">إعداد أ/ </w:t>
      </w:r>
      <w:r w:rsidR="003240F4" w:rsidRPr="003240F4">
        <w:rPr>
          <w:sz w:val="22"/>
          <w:szCs w:val="22"/>
          <w:rtl/>
        </w:rPr>
        <w:t>عادل محمد فتحي</w:t>
      </w:r>
    </w:p>
    <w:p w:rsidR="00D2731F" w:rsidRPr="0089766D" w:rsidRDefault="00D2731F" w:rsidP="00412DF1">
      <w:pPr>
        <w:jc w:val="center"/>
        <w:rPr>
          <w:i/>
          <w:iCs/>
          <w:sz w:val="20"/>
          <w:szCs w:val="20"/>
        </w:rPr>
      </w:pPr>
      <w:r w:rsidRPr="0089766D">
        <w:rPr>
          <w:i/>
          <w:iCs/>
          <w:sz w:val="20"/>
          <w:szCs w:val="20"/>
          <w:rtl/>
        </w:rPr>
        <w:t>قسم اللغة العربية</w:t>
      </w:r>
    </w:p>
    <w:p w:rsidR="00D2731F" w:rsidRPr="0089766D" w:rsidRDefault="00D2731F" w:rsidP="00412DF1">
      <w:pPr>
        <w:jc w:val="center"/>
        <w:rPr>
          <w:i/>
          <w:iCs/>
          <w:sz w:val="20"/>
          <w:szCs w:val="20"/>
        </w:rPr>
      </w:pPr>
      <w:r w:rsidRPr="0089766D">
        <w:rPr>
          <w:i/>
          <w:iCs/>
          <w:sz w:val="20"/>
          <w:szCs w:val="20"/>
          <w:rtl/>
        </w:rPr>
        <w:t>كلية اللغات – جامعة المدينة العالمية</w:t>
      </w:r>
    </w:p>
    <w:p w:rsidR="00D2731F" w:rsidRPr="0089766D" w:rsidRDefault="00D2731F" w:rsidP="00412DF1">
      <w:pPr>
        <w:jc w:val="center"/>
        <w:rPr>
          <w:i/>
          <w:iCs/>
          <w:sz w:val="20"/>
          <w:szCs w:val="20"/>
          <w:rtl/>
        </w:rPr>
      </w:pPr>
      <w:r w:rsidRPr="0089766D">
        <w:rPr>
          <w:i/>
          <w:iCs/>
          <w:sz w:val="20"/>
          <w:szCs w:val="20"/>
          <w:rtl/>
        </w:rPr>
        <w:t>شاه علم – ماليزيا</w:t>
      </w:r>
    </w:p>
    <w:p w:rsidR="00D2731F" w:rsidRDefault="003240F4" w:rsidP="003240F4">
      <w:pPr>
        <w:jc w:val="center"/>
        <w:rPr>
          <w:i/>
          <w:iCs/>
          <w:sz w:val="20"/>
          <w:szCs w:val="20"/>
          <w:rtl/>
        </w:rPr>
      </w:pPr>
      <w:r w:rsidRPr="003240F4">
        <w:rPr>
          <w:i/>
          <w:iCs/>
          <w:sz w:val="20"/>
          <w:szCs w:val="20"/>
        </w:rPr>
        <w:t>adel.mater@mediu.edu.my</w:t>
      </w:r>
    </w:p>
    <w:p w:rsidR="00D2731F" w:rsidRDefault="00D2731F" w:rsidP="00412DF1">
      <w:pPr>
        <w:jc w:val="center"/>
        <w:rPr>
          <w:i/>
          <w:iCs/>
          <w:sz w:val="20"/>
          <w:szCs w:val="20"/>
          <w:rtl/>
        </w:rPr>
      </w:pPr>
    </w:p>
    <w:p w:rsidR="00D2731F" w:rsidRDefault="00D2731F" w:rsidP="00412DF1">
      <w:pPr>
        <w:rPr>
          <w:b/>
          <w:bCs/>
          <w:sz w:val="18"/>
          <w:szCs w:val="18"/>
          <w:rtl/>
        </w:rPr>
        <w:sectPr w:rsidR="00D2731F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D2731F" w:rsidRPr="00412DF1" w:rsidRDefault="00D2731F" w:rsidP="00412DF1">
      <w:pPr>
        <w:rPr>
          <w:b/>
          <w:bCs/>
          <w:sz w:val="18"/>
          <w:szCs w:val="18"/>
          <w:rtl/>
        </w:rPr>
      </w:pPr>
      <w:r w:rsidRPr="00412DF1">
        <w:rPr>
          <w:b/>
          <w:bCs/>
          <w:sz w:val="18"/>
          <w:szCs w:val="18"/>
          <w:rtl/>
        </w:rPr>
        <w:lastRenderedPageBreak/>
        <w:t>خلاصة  -- هذا البحث يبحث في تعارض العلل</w:t>
      </w:r>
    </w:p>
    <w:p w:rsidR="00D2731F" w:rsidRPr="00412DF1" w:rsidRDefault="00D2731F" w:rsidP="00412DF1">
      <w:pPr>
        <w:spacing w:after="120"/>
        <w:jc w:val="lowKashida"/>
        <w:rPr>
          <w:b/>
          <w:bCs/>
          <w:sz w:val="18"/>
          <w:szCs w:val="18"/>
          <w:rtl/>
        </w:rPr>
      </w:pPr>
      <w:r w:rsidRPr="00412DF1">
        <w:rPr>
          <w:b/>
          <w:bCs/>
          <w:sz w:val="18"/>
          <w:szCs w:val="18"/>
          <w:rtl/>
        </w:rPr>
        <w:t>الكلمات المفتاحية : الاقتراح، جواز التعليل،لاستفهام</w:t>
      </w:r>
    </w:p>
    <w:p w:rsidR="00D2731F" w:rsidRPr="00412DF1" w:rsidRDefault="00D2731F" w:rsidP="00412DF1">
      <w:pPr>
        <w:pStyle w:val="a6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412DF1">
        <w:rPr>
          <w:b/>
          <w:bCs/>
          <w:sz w:val="18"/>
          <w:szCs w:val="18"/>
          <w:rtl/>
        </w:rPr>
        <w:t>المقدمة</w:t>
      </w:r>
    </w:p>
    <w:p w:rsidR="00D2731F" w:rsidRPr="00412DF1" w:rsidRDefault="00D2731F" w:rsidP="00412DF1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412DF1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تعارض العلل</w:t>
      </w:r>
    </w:p>
    <w:p w:rsidR="00D2731F" w:rsidRPr="00412DF1" w:rsidRDefault="00D2731F" w:rsidP="00412DF1">
      <w:pPr>
        <w:pStyle w:val="a4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412DF1">
        <w:rPr>
          <w:b/>
          <w:bCs/>
          <w:sz w:val="18"/>
          <w:szCs w:val="18"/>
          <w:rtl/>
        </w:rPr>
        <w:t>عنوان المقال</w:t>
      </w:r>
    </w:p>
    <w:p w:rsidR="00D2731F" w:rsidRPr="00412DF1" w:rsidRDefault="00D2731F" w:rsidP="00412DF1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412DF1">
        <w:rPr>
          <w:b/>
          <w:bCs/>
          <w:sz w:val="18"/>
          <w:szCs w:val="18"/>
          <w:rtl/>
          <w:lang w:bidi="ar-EG"/>
        </w:rPr>
        <w:t>مادة هذه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المسألة في (الاقتراح) ملخصة عن باب أورده ابن جني في (الخصائص) بالعنوان نفسه، وقد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ذكر ابن جني فيه أن الكلام في معنى تعارض العلل ضربان؛ أحدهما: حكم يتجاذب وجوده وحصوله علتان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فأكثر منهما، والآخر حكمان في شيء واحد مختلفان دعت إليهما علتان مختلفتان، فالأول</w:t>
      </w:r>
      <w:r w:rsidRPr="00412DF1">
        <w:rPr>
          <w:b/>
          <w:bCs/>
          <w:sz w:val="18"/>
          <w:szCs w:val="18"/>
          <w:rtl/>
        </w:rPr>
        <w:t xml:space="preserve">: </w:t>
      </w:r>
      <w:r w:rsidRPr="00412DF1">
        <w:rPr>
          <w:b/>
          <w:bCs/>
          <w:sz w:val="18"/>
          <w:szCs w:val="18"/>
          <w:rtl/>
          <w:lang w:bidi="ar-EG"/>
        </w:rPr>
        <w:t>سبق ذكره عن ابن جني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وهو جواز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التعليل بعلتين، ومثَّل له فيما مثل بقلب الواو ياء في نحو: مسلمي لأمرين، ومن الأمثلة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التي ذكرها في باب تعارض العلل لهذا النوع أيضًا رفع المبتدأ. فالبصريون يعللون رفعه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بالابتداء، والكوفيون يعتلون إما يرفعونه بالخبر الذي هو مرافعه، فالمبتدأ والخبر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عندهم يترافعان، وإما بما يعود عليه من ذكره من الخبر على حسب مواقعه. وكذلك رفع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الخبر، ورفع الفاعل، ورفع ما أقيم مقامه، ورفع خبر إن وأخواتها، وكذلك نصب ما انتصب، وجر ما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انجر، وجزم ما انجزم، مما يتجاذبه الخلاف في علله، فكل واحد من هذه الأشياء له حكم واحد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تتنازعه العلل</w:t>
      </w:r>
      <w:r w:rsidRPr="00412DF1">
        <w:rPr>
          <w:b/>
          <w:bCs/>
          <w:sz w:val="18"/>
          <w:szCs w:val="18"/>
          <w:rtl/>
        </w:rPr>
        <w:t>.</w:t>
      </w:r>
    </w:p>
    <w:p w:rsidR="00D2731F" w:rsidRPr="00412DF1" w:rsidRDefault="00D2731F" w:rsidP="00412DF1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412DF1">
        <w:rPr>
          <w:b/>
          <w:bCs/>
          <w:sz w:val="18"/>
          <w:szCs w:val="18"/>
          <w:rtl/>
          <w:lang w:bidi="ar-EG"/>
        </w:rPr>
        <w:t>والثاني من ضربي تعارض العلل كإعمال أهل الحجاز ما النافية تشبيهًا لها بليس أي</w:t>
      </w:r>
      <w:r w:rsidRPr="00412DF1">
        <w:rPr>
          <w:b/>
          <w:bCs/>
          <w:sz w:val="18"/>
          <w:szCs w:val="18"/>
          <w:rtl/>
        </w:rPr>
        <w:t xml:space="preserve">: </w:t>
      </w:r>
      <w:r w:rsidRPr="00412DF1">
        <w:rPr>
          <w:b/>
          <w:bCs/>
          <w:sz w:val="18"/>
          <w:szCs w:val="18"/>
          <w:rtl/>
          <w:lang w:bidi="ar-EG"/>
        </w:rPr>
        <w:t>لكونها مثلها لنفي الحال عند الإطلاق، وترك بني تميم إعمالها، وإجرائهم إياها مجرى هل،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ونحوها مما لا يعمل؛ لعدم الاختصاص بقبيل أي: بنوع من نوعي الكلمة الأسماء والأفعال</w:t>
      </w:r>
      <w:r w:rsidRPr="00412DF1">
        <w:rPr>
          <w:b/>
          <w:bCs/>
          <w:sz w:val="18"/>
          <w:szCs w:val="18"/>
          <w:rtl/>
        </w:rPr>
        <w:t xml:space="preserve">. </w:t>
      </w:r>
      <w:r w:rsidRPr="00412DF1">
        <w:rPr>
          <w:b/>
          <w:bCs/>
          <w:sz w:val="18"/>
          <w:szCs w:val="18"/>
          <w:rtl/>
          <w:lang w:bidi="ar-EG"/>
        </w:rPr>
        <w:t>فكأن أهل الحجاز لما رأوها داخلة على المبتدأ والخبر دخول ليس عليهما، ونافية للحال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نفيها إياها؛ أجروها في الرفع والنصب مجراها، وكأن بني تميم لما رأوها حرفًا داخلًا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بمعناه يعني: لمجرد إفادة معنى النفي على الجملة المستقلة بنفسها، ومباشرة لكل واحد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من جزأيها كقولك: ما زيد أخوك، وما قام زيد؛ أجروها مجرى هل، ألا تراها داخلة على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الجملة لمعنى النفي دخول هل عليها للاستفهام، ولذلك كانت عند سيبويه لغة التميميين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أقوى قياسًا من لغة الحجازيين. انتهى</w:t>
      </w:r>
      <w:r w:rsidRPr="00412DF1">
        <w:rPr>
          <w:b/>
          <w:bCs/>
          <w:sz w:val="18"/>
          <w:szCs w:val="18"/>
          <w:rtl/>
        </w:rPr>
        <w:t>.</w:t>
      </w:r>
    </w:p>
    <w:p w:rsidR="00D2731F" w:rsidRPr="00412DF1" w:rsidRDefault="00D2731F" w:rsidP="00412DF1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412DF1">
        <w:rPr>
          <w:b/>
          <w:bCs/>
          <w:sz w:val="18"/>
          <w:szCs w:val="18"/>
          <w:rtl/>
          <w:lang w:bidi="ar-EG"/>
        </w:rPr>
        <w:t>يريد أقوى مدركًا، وإن كانت الحجازية أفصح وأقوى سماعًا؛ لنزول القرآن الكريم بها،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وكذلك ليتما، وأصلها ليت، وقد اتصلت بها ما الزائدة فمن العرب من يلغيها عن العمل؛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إلحاقًا لها بأخواتها إن وأن وكأن ولعل، ولكن إذا اتصلت بهن ما الزائدة، فإنها تكفهنَّ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عن العمل، وتجعلهن حروف ابتداء، وتهيئهن للدخول على الجمل الفعلية أيضًا بعد أن كنَّ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مختصات بالدخول على الجمل الاسمية، ومن كفَّ ليت عن العمل بما قال: لا تكون ليت في وجوب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العمل بها أقوى من الفعل. وقد نرى الفعل إذا كف بـ: ما زال عن عمله، وذلك كقولهم: قلما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يقوم زيد، فما دخلت على قل، كافة لها عن عملها، ومثله كثرما وطالما، فكما دخلت ما على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الفعل نفسه فكفته عن العمل، وهيأته لغير ما كان قبلها متقاضيًا له، كذلك تكون ما كافة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لليت عن عملها، ومصيرة لها إلى جواز وقوع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الجملتين جميعًا بعدها</w:t>
      </w:r>
      <w:r w:rsidRPr="00412DF1">
        <w:rPr>
          <w:b/>
          <w:bCs/>
          <w:sz w:val="18"/>
          <w:szCs w:val="18"/>
          <w:rtl/>
        </w:rPr>
        <w:t>.</w:t>
      </w:r>
    </w:p>
    <w:p w:rsidR="00D2731F" w:rsidRPr="00412DF1" w:rsidRDefault="00D2731F" w:rsidP="003347DC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412DF1">
        <w:rPr>
          <w:b/>
          <w:bCs/>
          <w:sz w:val="18"/>
          <w:szCs w:val="18"/>
          <w:rtl/>
          <w:lang w:bidi="ar-EG"/>
        </w:rPr>
        <w:t>وبعض العرب يجعل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ليتما ناصبة للاسم رافعة للخبر، من غير أن تكفها ما الزائدة عن العمل؛ إلحاقًا لها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بحروف الجر التي تدخل عليها ما الزائدة، فلا تكفها عن العمل مثل: الباء كقوله</w:t>
      </w:r>
      <w:r w:rsidRPr="00412DF1">
        <w:rPr>
          <w:b/>
          <w:bCs/>
          <w:sz w:val="18"/>
          <w:szCs w:val="18"/>
          <w:rtl/>
        </w:rPr>
        <w:t xml:space="preserve">: </w:t>
      </w:r>
      <w:r w:rsidRPr="00412DF1">
        <w:rPr>
          <w:b/>
          <w:bCs/>
          <w:color w:val="008000"/>
          <w:sz w:val="18"/>
          <w:szCs w:val="18"/>
          <w:rtl/>
        </w:rPr>
        <w:t>{</w:t>
      </w:r>
      <w:r w:rsidRPr="003347DC">
        <w:rPr>
          <w:rFonts w:ascii="QCF_P103" w:hAnsi="QCF_P103" w:cs="QCF_P103"/>
          <w:color w:val="008000"/>
          <w:sz w:val="30"/>
          <w:szCs w:val="30"/>
          <w:rtl/>
        </w:rPr>
        <w:t xml:space="preserve"> </w:t>
      </w:r>
      <w:r w:rsidRPr="003347DC">
        <w:rPr>
          <w:rFonts w:ascii="QCF_P103" w:hAnsi="QCF_P103" w:cs="QCF_P103"/>
          <w:color w:val="008000"/>
          <w:sz w:val="18"/>
          <w:szCs w:val="18"/>
          <w:rtl/>
        </w:rPr>
        <w:t>ﭑ ﭒ ﭓ</w:t>
      </w:r>
      <w:r w:rsidRPr="00412DF1">
        <w:rPr>
          <w:b/>
          <w:bCs/>
          <w:color w:val="008000"/>
          <w:sz w:val="18"/>
          <w:szCs w:val="18"/>
          <w:rtl/>
        </w:rPr>
        <w:t xml:space="preserve"> } </w:t>
      </w:r>
      <w:r w:rsidRPr="00412DF1">
        <w:rPr>
          <w:b/>
          <w:bCs/>
          <w:sz w:val="18"/>
          <w:szCs w:val="18"/>
          <w:rtl/>
        </w:rPr>
        <w:t>[</w:t>
      </w:r>
      <w:r w:rsidRPr="00412DF1">
        <w:rPr>
          <w:b/>
          <w:bCs/>
          <w:sz w:val="18"/>
          <w:szCs w:val="18"/>
          <w:rtl/>
          <w:lang w:bidi="ar-EG"/>
        </w:rPr>
        <w:t>النساء: 155]، وعن كقوله تعالى</w:t>
      </w:r>
      <w:r w:rsidRPr="00412DF1">
        <w:rPr>
          <w:b/>
          <w:bCs/>
          <w:sz w:val="18"/>
          <w:szCs w:val="18"/>
          <w:rtl/>
        </w:rPr>
        <w:t xml:space="preserve">: </w:t>
      </w:r>
      <w:r w:rsidRPr="00412DF1">
        <w:rPr>
          <w:b/>
          <w:bCs/>
          <w:color w:val="008000"/>
          <w:sz w:val="18"/>
          <w:szCs w:val="18"/>
          <w:rtl/>
        </w:rPr>
        <w:t>{</w:t>
      </w:r>
      <w:r w:rsidRPr="003347DC">
        <w:rPr>
          <w:rFonts w:ascii="QCF_P344" w:hAnsi="QCF_P344" w:cs="QCF_P344"/>
          <w:color w:val="008000"/>
          <w:sz w:val="30"/>
          <w:szCs w:val="30"/>
          <w:rtl/>
        </w:rPr>
        <w:t xml:space="preserve"> </w:t>
      </w:r>
      <w:r w:rsidRPr="003347DC">
        <w:rPr>
          <w:rFonts w:ascii="QCF_P344" w:hAnsi="QCF_P344" w:cs="QCF_P344"/>
          <w:color w:val="008000"/>
          <w:sz w:val="18"/>
          <w:szCs w:val="18"/>
          <w:rtl/>
        </w:rPr>
        <w:t>ﯻ ﯼ</w:t>
      </w:r>
      <w:r w:rsidRPr="00412DF1">
        <w:rPr>
          <w:b/>
          <w:bCs/>
          <w:color w:val="008000"/>
          <w:sz w:val="18"/>
          <w:szCs w:val="18"/>
          <w:rtl/>
        </w:rPr>
        <w:t xml:space="preserve">} </w:t>
      </w:r>
      <w:r w:rsidRPr="00412DF1">
        <w:rPr>
          <w:b/>
          <w:bCs/>
          <w:sz w:val="18"/>
          <w:szCs w:val="18"/>
          <w:rtl/>
        </w:rPr>
        <w:t>[</w:t>
      </w:r>
      <w:r w:rsidRPr="00412DF1">
        <w:rPr>
          <w:b/>
          <w:bCs/>
          <w:sz w:val="18"/>
          <w:szCs w:val="18"/>
          <w:rtl/>
          <w:lang w:bidi="ar-EG"/>
        </w:rPr>
        <w:t>المؤمنون: 40]، ومِن كقوله تعالى</w:t>
      </w:r>
      <w:r w:rsidRPr="00412DF1">
        <w:rPr>
          <w:b/>
          <w:bCs/>
          <w:sz w:val="18"/>
          <w:szCs w:val="18"/>
          <w:rtl/>
        </w:rPr>
        <w:t xml:space="preserve">: </w:t>
      </w:r>
      <w:r w:rsidRPr="00412DF1">
        <w:rPr>
          <w:b/>
          <w:bCs/>
          <w:color w:val="008000"/>
          <w:sz w:val="18"/>
          <w:szCs w:val="18"/>
          <w:rtl/>
        </w:rPr>
        <w:t>{</w:t>
      </w:r>
      <w:r w:rsidRPr="003347DC">
        <w:rPr>
          <w:rFonts w:ascii="QCF_P571" w:hAnsi="QCF_P571" w:cs="QCF_P571"/>
          <w:color w:val="008000"/>
          <w:sz w:val="30"/>
          <w:szCs w:val="30"/>
          <w:rtl/>
        </w:rPr>
        <w:t xml:space="preserve"> </w:t>
      </w:r>
      <w:r w:rsidRPr="003347DC">
        <w:rPr>
          <w:rFonts w:ascii="QCF_P571" w:hAnsi="QCF_P571" w:cs="QCF_P571"/>
          <w:color w:val="008000"/>
          <w:sz w:val="18"/>
          <w:szCs w:val="18"/>
          <w:rtl/>
        </w:rPr>
        <w:t>ﯞ ﯟ</w:t>
      </w:r>
      <w:r w:rsidRPr="00412DF1">
        <w:rPr>
          <w:b/>
          <w:bCs/>
          <w:color w:val="008000"/>
          <w:sz w:val="18"/>
          <w:szCs w:val="18"/>
          <w:rtl/>
        </w:rPr>
        <w:t xml:space="preserve">} </w:t>
      </w:r>
      <w:r w:rsidRPr="00412DF1">
        <w:rPr>
          <w:b/>
          <w:bCs/>
          <w:sz w:val="18"/>
          <w:szCs w:val="18"/>
          <w:rtl/>
        </w:rPr>
        <w:t>[</w:t>
      </w:r>
      <w:r w:rsidRPr="00412DF1">
        <w:rPr>
          <w:b/>
          <w:bCs/>
          <w:sz w:val="18"/>
          <w:szCs w:val="18"/>
          <w:rtl/>
          <w:lang w:bidi="ar-EG"/>
        </w:rPr>
        <w:t>نوح: 25] في قراءة غير أبي عمرو من السبعة، واللام كقول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الأعشى</w:t>
      </w:r>
      <w:r w:rsidRPr="00412DF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6"/>
        <w:gridCol w:w="574"/>
        <w:gridCol w:w="2104"/>
      </w:tblGrid>
      <w:tr w:rsidR="00D2731F" w:rsidRPr="00412DF1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2731F" w:rsidRPr="00531296" w:rsidRDefault="00D2731F" w:rsidP="00531296">
            <w:pPr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531296">
              <w:rPr>
                <w:b/>
                <w:bCs/>
                <w:sz w:val="18"/>
                <w:szCs w:val="18"/>
                <w:rtl/>
              </w:rPr>
              <w:t>إلى ملك خير أربابه</w:t>
            </w:r>
            <w:r w:rsidRPr="00531296">
              <w:rPr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D2731F" w:rsidRPr="00531296" w:rsidRDefault="00D2731F" w:rsidP="00531296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31296">
              <w:rPr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D2731F" w:rsidRPr="00531296" w:rsidRDefault="00D2731F" w:rsidP="00531296">
            <w:pPr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531296">
              <w:rPr>
                <w:b/>
                <w:bCs/>
                <w:sz w:val="18"/>
                <w:szCs w:val="18"/>
                <w:rtl/>
              </w:rPr>
              <w:t>فإن لما كل شيء قرارًا</w:t>
            </w:r>
            <w:r w:rsidRPr="00531296">
              <w:rPr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2731F" w:rsidRPr="00412DF1" w:rsidRDefault="00D2731F" w:rsidP="00412DF1">
      <w:pPr>
        <w:pStyle w:val="a4"/>
        <w:bidi/>
        <w:spacing w:before="0" w:beforeAutospacing="0" w:after="120" w:afterAutospacing="0"/>
        <w:jc w:val="lowKashida"/>
        <w:rPr>
          <w:b/>
          <w:bCs/>
          <w:spacing w:val="-4"/>
          <w:sz w:val="18"/>
          <w:szCs w:val="18"/>
        </w:rPr>
      </w:pPr>
      <w:r w:rsidRPr="00412DF1">
        <w:rPr>
          <w:b/>
          <w:bCs/>
          <w:sz w:val="18"/>
          <w:szCs w:val="18"/>
          <w:rtl/>
          <w:lang w:bidi="ar-EG"/>
        </w:rPr>
        <w:t>أي: فإن لكل شيء قرارًا، وذكر ابن جني أن الفرق بين ليت وبين كأن ولعل أنها أشبه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بالفعل، منهما وقال</w:t>
      </w:r>
      <w:r w:rsidRPr="00412DF1">
        <w:rPr>
          <w:b/>
          <w:bCs/>
          <w:sz w:val="18"/>
          <w:szCs w:val="18"/>
          <w:rtl/>
        </w:rPr>
        <w:t>: "</w:t>
      </w:r>
      <w:r w:rsidRPr="00412DF1">
        <w:rPr>
          <w:b/>
          <w:bCs/>
          <w:sz w:val="18"/>
          <w:szCs w:val="18"/>
          <w:rtl/>
          <w:lang w:bidi="ar-EG"/>
        </w:rPr>
        <w:t>ألا تراها مفردة وهما مركبتان؛ لأن الكاف زائدة واللام زائدة</w:t>
      </w:r>
      <w:r w:rsidRPr="00412DF1">
        <w:rPr>
          <w:b/>
          <w:bCs/>
          <w:sz w:val="18"/>
          <w:szCs w:val="18"/>
          <w:rtl/>
        </w:rPr>
        <w:t xml:space="preserve">" </w:t>
      </w:r>
      <w:r w:rsidRPr="00412DF1">
        <w:rPr>
          <w:b/>
          <w:bCs/>
          <w:sz w:val="18"/>
          <w:szCs w:val="18"/>
          <w:rtl/>
          <w:lang w:bidi="ar-EG"/>
        </w:rPr>
        <w:t>انتهى</w:t>
      </w:r>
      <w:r w:rsidRPr="00412DF1">
        <w:rPr>
          <w:b/>
          <w:bCs/>
          <w:sz w:val="18"/>
          <w:szCs w:val="18"/>
          <w:rtl/>
        </w:rPr>
        <w:t xml:space="preserve">. </w:t>
      </w:r>
      <w:r w:rsidRPr="00412DF1">
        <w:rPr>
          <w:b/>
          <w:bCs/>
          <w:sz w:val="18"/>
          <w:szCs w:val="18"/>
          <w:rtl/>
          <w:lang w:bidi="ar-EG"/>
        </w:rPr>
        <w:t>وقال السيوطي</w:t>
      </w:r>
      <w:r w:rsidRPr="00412DF1">
        <w:rPr>
          <w:b/>
          <w:bCs/>
          <w:sz w:val="18"/>
          <w:szCs w:val="18"/>
          <w:rtl/>
        </w:rPr>
        <w:t>: "</w:t>
      </w:r>
      <w:r w:rsidRPr="00412DF1">
        <w:rPr>
          <w:b/>
          <w:bCs/>
          <w:sz w:val="18"/>
          <w:szCs w:val="18"/>
          <w:rtl/>
          <w:lang w:bidi="ar-EG"/>
        </w:rPr>
        <w:t>وفرق بينها أي: بين ليت، وبين أخواتها بأنها أشبه بالفعل في الإفراد،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وعدد الحروف</w:t>
      </w:r>
      <w:r w:rsidRPr="00412DF1">
        <w:rPr>
          <w:b/>
          <w:bCs/>
          <w:sz w:val="18"/>
          <w:szCs w:val="18"/>
          <w:rtl/>
        </w:rPr>
        <w:t xml:space="preserve">". </w:t>
      </w:r>
      <w:r w:rsidRPr="00412DF1">
        <w:rPr>
          <w:b/>
          <w:bCs/>
          <w:sz w:val="18"/>
          <w:szCs w:val="18"/>
          <w:rtl/>
          <w:lang w:bidi="ar-EG"/>
        </w:rPr>
        <w:t xml:space="preserve">انتهى. قال ابن الطيب في </w:t>
      </w:r>
      <w:r w:rsidRPr="00412DF1">
        <w:rPr>
          <w:b/>
          <w:bCs/>
          <w:sz w:val="18"/>
          <w:szCs w:val="18"/>
          <w:rtl/>
          <w:lang w:bidi="ar-EG"/>
        </w:rPr>
        <w:lastRenderedPageBreak/>
        <w:t>(الفيض</w:t>
      </w:r>
      <w:r w:rsidRPr="00412DF1">
        <w:rPr>
          <w:b/>
          <w:bCs/>
          <w:sz w:val="18"/>
          <w:szCs w:val="18"/>
          <w:rtl/>
        </w:rPr>
        <w:t>): "</w:t>
      </w:r>
      <w:r w:rsidRPr="00412DF1">
        <w:rPr>
          <w:b/>
          <w:bCs/>
          <w:sz w:val="18"/>
          <w:szCs w:val="18"/>
          <w:rtl/>
          <w:lang w:bidi="ar-EG"/>
        </w:rPr>
        <w:t>فإن ليت بوزن ليس بخلاف أخواتها</w:t>
      </w:r>
      <w:r w:rsidRPr="00412DF1">
        <w:rPr>
          <w:b/>
          <w:bCs/>
          <w:sz w:val="18"/>
          <w:szCs w:val="18"/>
          <w:rtl/>
        </w:rPr>
        <w:t xml:space="preserve">". </w:t>
      </w:r>
      <w:r w:rsidRPr="00412DF1">
        <w:rPr>
          <w:b/>
          <w:bCs/>
          <w:sz w:val="18"/>
          <w:szCs w:val="18"/>
          <w:rtl/>
          <w:lang w:bidi="ar-EG"/>
        </w:rPr>
        <w:t>انتهى</w:t>
      </w:r>
      <w:r w:rsidRPr="00412DF1">
        <w:rPr>
          <w:b/>
          <w:bCs/>
          <w:sz w:val="18"/>
          <w:szCs w:val="18"/>
          <w:rtl/>
        </w:rPr>
        <w:t xml:space="preserve">. </w:t>
      </w:r>
      <w:r w:rsidRPr="00412DF1">
        <w:rPr>
          <w:b/>
          <w:bCs/>
          <w:sz w:val="18"/>
          <w:szCs w:val="18"/>
          <w:rtl/>
          <w:lang w:bidi="ar-EG"/>
        </w:rPr>
        <w:t xml:space="preserve">وابن جني إنما ذكر في </w:t>
      </w:r>
      <w:r w:rsidRPr="00412DF1">
        <w:rPr>
          <w:b/>
          <w:bCs/>
          <w:spacing w:val="-4"/>
          <w:sz w:val="18"/>
          <w:szCs w:val="18"/>
          <w:rtl/>
          <w:lang w:bidi="ar-EG"/>
        </w:rPr>
        <w:t>(الخصائص) الفرق بينها وبين كأن ولعل كما أوضحنا، والذي يطمئن</w:t>
      </w:r>
      <w:r w:rsidRPr="00412DF1">
        <w:rPr>
          <w:b/>
          <w:bCs/>
          <w:spacing w:val="-4"/>
          <w:sz w:val="18"/>
          <w:szCs w:val="18"/>
          <w:rtl/>
        </w:rPr>
        <w:t xml:space="preserve"> </w:t>
      </w:r>
      <w:r w:rsidRPr="00412DF1">
        <w:rPr>
          <w:b/>
          <w:bCs/>
          <w:spacing w:val="-4"/>
          <w:sz w:val="18"/>
          <w:szCs w:val="18"/>
          <w:rtl/>
          <w:lang w:bidi="ar-EG"/>
        </w:rPr>
        <w:t>إليه الضمير العلمي في هذه المسألة في ضوء ما ورد في (الكتاب) لشيخ النحاة سيبويه</w:t>
      </w:r>
      <w:r w:rsidRPr="00412DF1">
        <w:rPr>
          <w:b/>
          <w:bCs/>
          <w:spacing w:val="-4"/>
          <w:sz w:val="18"/>
          <w:szCs w:val="18"/>
          <w:rtl/>
        </w:rPr>
        <w:t xml:space="preserve"> </w:t>
      </w:r>
      <w:r w:rsidRPr="00412DF1">
        <w:rPr>
          <w:b/>
          <w:bCs/>
          <w:spacing w:val="-4"/>
          <w:sz w:val="18"/>
          <w:szCs w:val="18"/>
          <w:rtl/>
          <w:lang w:bidi="ar-EG"/>
        </w:rPr>
        <w:t>وغيره ممن تناولها بالبحث والدراسة: أن ليتما يجوز كفها عن العمل بـ: ما المتصلة بها،</w:t>
      </w:r>
      <w:r w:rsidRPr="00412DF1">
        <w:rPr>
          <w:b/>
          <w:bCs/>
          <w:spacing w:val="-4"/>
          <w:sz w:val="18"/>
          <w:szCs w:val="18"/>
          <w:rtl/>
        </w:rPr>
        <w:t xml:space="preserve"> </w:t>
      </w:r>
      <w:r w:rsidRPr="00412DF1">
        <w:rPr>
          <w:b/>
          <w:bCs/>
          <w:spacing w:val="-4"/>
          <w:sz w:val="18"/>
          <w:szCs w:val="18"/>
          <w:rtl/>
          <w:lang w:bidi="ar-EG"/>
        </w:rPr>
        <w:t>وهذا الإلغاء حسن، ويجوز إعمالها واعتبار ما زائدة غير كافة يعني: وهذا الإعمال أحسن</w:t>
      </w:r>
      <w:r w:rsidRPr="00412DF1">
        <w:rPr>
          <w:b/>
          <w:bCs/>
          <w:spacing w:val="-4"/>
          <w:sz w:val="18"/>
          <w:szCs w:val="18"/>
          <w:rtl/>
        </w:rPr>
        <w:t xml:space="preserve">. </w:t>
      </w:r>
      <w:r w:rsidRPr="00412DF1">
        <w:rPr>
          <w:b/>
          <w:bCs/>
          <w:spacing w:val="-4"/>
          <w:sz w:val="18"/>
          <w:szCs w:val="18"/>
          <w:rtl/>
          <w:lang w:bidi="ar-EG"/>
        </w:rPr>
        <w:t>وقد قال ابن يعيش في (شرح المفصل</w:t>
      </w:r>
      <w:r w:rsidRPr="00412DF1">
        <w:rPr>
          <w:b/>
          <w:bCs/>
          <w:spacing w:val="-4"/>
          <w:sz w:val="18"/>
          <w:szCs w:val="18"/>
          <w:rtl/>
        </w:rPr>
        <w:t>): "</w:t>
      </w:r>
      <w:r w:rsidRPr="00412DF1">
        <w:rPr>
          <w:b/>
          <w:bCs/>
          <w:spacing w:val="-4"/>
          <w:sz w:val="18"/>
          <w:szCs w:val="18"/>
          <w:rtl/>
          <w:lang w:bidi="ar-EG"/>
        </w:rPr>
        <w:t>ومن ذلك</w:t>
      </w:r>
      <w:r w:rsidRPr="00412DF1">
        <w:rPr>
          <w:b/>
          <w:bCs/>
          <w:spacing w:val="-4"/>
          <w:sz w:val="18"/>
          <w:szCs w:val="18"/>
          <w:rtl/>
        </w:rPr>
        <w:t xml:space="preserve"> </w:t>
      </w:r>
      <w:r w:rsidRPr="00412DF1">
        <w:rPr>
          <w:b/>
          <w:bCs/>
          <w:spacing w:val="-4"/>
          <w:sz w:val="18"/>
          <w:szCs w:val="18"/>
          <w:rtl/>
          <w:lang w:bidi="ar-EG"/>
        </w:rPr>
        <w:t>ليتما الإلغاء فيها حسن، والإعمال أحسن؛ لقوة شبهها بالفعل، وعدم تغاير معناها</w:t>
      </w:r>
      <w:r w:rsidRPr="00412DF1">
        <w:rPr>
          <w:b/>
          <w:bCs/>
          <w:spacing w:val="-4"/>
          <w:sz w:val="18"/>
          <w:szCs w:val="18"/>
          <w:rtl/>
        </w:rPr>
        <w:t xml:space="preserve">". </w:t>
      </w:r>
      <w:r w:rsidRPr="00412DF1">
        <w:rPr>
          <w:b/>
          <w:bCs/>
          <w:spacing w:val="-4"/>
          <w:sz w:val="18"/>
          <w:szCs w:val="18"/>
          <w:rtl/>
          <w:lang w:bidi="ar-EG"/>
        </w:rPr>
        <w:t>انتهى</w:t>
      </w:r>
      <w:r w:rsidRPr="00412DF1">
        <w:rPr>
          <w:b/>
          <w:bCs/>
          <w:spacing w:val="-4"/>
          <w:sz w:val="18"/>
          <w:szCs w:val="18"/>
          <w:rtl/>
        </w:rPr>
        <w:t>.</w:t>
      </w:r>
    </w:p>
    <w:p w:rsidR="00D2731F" w:rsidRPr="00412DF1" w:rsidRDefault="00D2731F" w:rsidP="00412DF1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412DF1">
        <w:rPr>
          <w:b/>
          <w:bCs/>
          <w:sz w:val="18"/>
          <w:szCs w:val="18"/>
          <w:rtl/>
          <w:lang w:bidi="ar-EG"/>
        </w:rPr>
        <w:t>وعكس ذلك الحكم ابن الحاجب في كافيته، وسار شارحه الرضي على مذهبه، فقال ابن الحاجب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فيها</w:t>
      </w:r>
      <w:r w:rsidRPr="00412DF1">
        <w:rPr>
          <w:b/>
          <w:bCs/>
          <w:sz w:val="18"/>
          <w:szCs w:val="18"/>
          <w:rtl/>
        </w:rPr>
        <w:t>: "</w:t>
      </w:r>
      <w:r w:rsidRPr="00412DF1">
        <w:rPr>
          <w:b/>
          <w:bCs/>
          <w:sz w:val="18"/>
          <w:szCs w:val="18"/>
          <w:rtl/>
          <w:lang w:bidi="ar-EG"/>
        </w:rPr>
        <w:t>وتلحقها ما فتلغى على الأفصح</w:t>
      </w:r>
      <w:r w:rsidRPr="00412DF1">
        <w:rPr>
          <w:b/>
          <w:bCs/>
          <w:sz w:val="18"/>
          <w:szCs w:val="18"/>
          <w:rtl/>
        </w:rPr>
        <w:t>"</w:t>
      </w:r>
      <w:r w:rsidRPr="00412DF1">
        <w:rPr>
          <w:b/>
          <w:bCs/>
          <w:sz w:val="18"/>
          <w:szCs w:val="18"/>
          <w:rtl/>
          <w:lang w:bidi="ar-EG"/>
        </w:rPr>
        <w:t>، وقال الرضي في (الشرح</w:t>
      </w:r>
      <w:r w:rsidRPr="00412DF1">
        <w:rPr>
          <w:b/>
          <w:bCs/>
          <w:sz w:val="18"/>
          <w:szCs w:val="18"/>
          <w:rtl/>
        </w:rPr>
        <w:t>): "</w:t>
      </w:r>
      <w:r w:rsidRPr="00412DF1">
        <w:rPr>
          <w:b/>
          <w:bCs/>
          <w:sz w:val="18"/>
          <w:szCs w:val="18"/>
          <w:rtl/>
          <w:lang w:bidi="ar-EG"/>
        </w:rPr>
        <w:t>إذا دخلت ما على ليت جاز أن تعمل وأن تلغى، وروي قوله</w:t>
      </w:r>
      <w:r w:rsidRPr="00412DF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01"/>
        <w:gridCol w:w="569"/>
        <w:gridCol w:w="2124"/>
      </w:tblGrid>
      <w:tr w:rsidR="00D2731F" w:rsidRPr="00412DF1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2731F" w:rsidRPr="00531296" w:rsidRDefault="00D2731F" w:rsidP="00531296">
            <w:pPr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531296">
              <w:rPr>
                <w:b/>
                <w:bCs/>
                <w:sz w:val="18"/>
                <w:szCs w:val="18"/>
                <w:rtl/>
              </w:rPr>
              <w:t>قالت: ألا ليتما هذا الحمام لنا</w:t>
            </w:r>
            <w:r w:rsidRPr="00531296">
              <w:rPr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D2731F" w:rsidRPr="00531296" w:rsidRDefault="00D2731F" w:rsidP="00531296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531296">
              <w:rPr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D2731F" w:rsidRPr="00531296" w:rsidRDefault="00D2731F" w:rsidP="00531296">
            <w:pPr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531296">
              <w:rPr>
                <w:b/>
                <w:bCs/>
                <w:sz w:val="18"/>
                <w:szCs w:val="18"/>
                <w:rtl/>
              </w:rPr>
              <w:t>إلى حمامتنا ونصفه فقد</w:t>
            </w:r>
            <w:r w:rsidRPr="00531296">
              <w:rPr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2731F" w:rsidRPr="00412DF1" w:rsidRDefault="00D2731F" w:rsidP="00412DF1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412DF1">
        <w:rPr>
          <w:b/>
          <w:bCs/>
          <w:sz w:val="18"/>
          <w:szCs w:val="18"/>
          <w:rtl/>
          <w:lang w:bidi="ar-EG"/>
        </w:rPr>
        <w:t>رفعًا ونصبًا يعني: برفع الحمام على إهمال ليتما، ونصبه على إعمالها، ولم يسمع الإلغاء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والإعمال عن العرب إلا مع ليتما</w:t>
      </w:r>
      <w:r w:rsidRPr="00412DF1">
        <w:rPr>
          <w:b/>
          <w:bCs/>
          <w:sz w:val="18"/>
          <w:szCs w:val="18"/>
          <w:rtl/>
        </w:rPr>
        <w:t>"</w:t>
      </w:r>
      <w:r w:rsidRPr="00412DF1">
        <w:rPr>
          <w:b/>
          <w:bCs/>
          <w:sz w:val="18"/>
          <w:szCs w:val="18"/>
          <w:rtl/>
          <w:lang w:bidi="ar-EG"/>
        </w:rPr>
        <w:t>، وتابع الرضي شرحه فقال</w:t>
      </w:r>
      <w:r w:rsidRPr="00412DF1">
        <w:rPr>
          <w:b/>
          <w:bCs/>
          <w:sz w:val="18"/>
          <w:szCs w:val="18"/>
          <w:rtl/>
        </w:rPr>
        <w:t>: "</w:t>
      </w:r>
      <w:r w:rsidRPr="00412DF1">
        <w:rPr>
          <w:b/>
          <w:bCs/>
          <w:sz w:val="18"/>
          <w:szCs w:val="18"/>
          <w:rtl/>
          <w:lang w:bidi="ar-EG"/>
        </w:rPr>
        <w:t>والإلغاء أكثر؛ لأنها تخرج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بـ: ما عن الاختصاص بالجملة الاسمية، فالأولى ألا تعمل</w:t>
      </w:r>
      <w:r w:rsidRPr="00412DF1">
        <w:rPr>
          <w:b/>
          <w:bCs/>
          <w:sz w:val="18"/>
          <w:szCs w:val="18"/>
          <w:rtl/>
        </w:rPr>
        <w:t xml:space="preserve">". </w:t>
      </w:r>
      <w:r w:rsidRPr="00412DF1">
        <w:rPr>
          <w:b/>
          <w:bCs/>
          <w:sz w:val="18"/>
          <w:szCs w:val="18"/>
          <w:rtl/>
          <w:lang w:bidi="ar-EG"/>
        </w:rPr>
        <w:t>انتهى. ولم يذكر شاهدًا واحدًا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على دخول ليتما على الجملة الفعلية</w:t>
      </w:r>
      <w:r w:rsidRPr="00412DF1">
        <w:rPr>
          <w:b/>
          <w:bCs/>
          <w:sz w:val="18"/>
          <w:szCs w:val="18"/>
          <w:rtl/>
        </w:rPr>
        <w:t>.</w:t>
      </w:r>
    </w:p>
    <w:p w:rsidR="00D2731F" w:rsidRPr="00412DF1" w:rsidRDefault="00D2731F" w:rsidP="00412DF1">
      <w:pPr>
        <w:pStyle w:val="a4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412DF1">
        <w:rPr>
          <w:b/>
          <w:bCs/>
          <w:sz w:val="18"/>
          <w:szCs w:val="18"/>
          <w:rtl/>
          <w:lang w:bidi="ar-EG"/>
        </w:rPr>
        <w:t>ومن الضرب الثاني لتعارض العلل أيضًا: هلم، فقد ألحقها الحجازيون باسم فعل الأمر؛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لدلالتها على الأمر من غير أن تقبل علامة فعل الأمر، فلا تتصل بها نون التوكيد، وتكون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بلفظ واحد للمفرد والمثنى، والجمع، والمذكر والمؤنث، وبلغتهم جاء التنزيل، وقد وردت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متعدية بمعنى أحضِر، وهات، ومنه قوله تعالى</w:t>
      </w:r>
      <w:r w:rsidRPr="00412DF1">
        <w:rPr>
          <w:b/>
          <w:bCs/>
          <w:sz w:val="18"/>
          <w:szCs w:val="18"/>
          <w:rtl/>
        </w:rPr>
        <w:t xml:space="preserve">: </w:t>
      </w:r>
      <w:r w:rsidRPr="00412DF1">
        <w:rPr>
          <w:b/>
          <w:bCs/>
          <w:color w:val="008000"/>
          <w:sz w:val="18"/>
          <w:szCs w:val="18"/>
          <w:rtl/>
        </w:rPr>
        <w:t xml:space="preserve">{ﮓ ﮔ} </w:t>
      </w:r>
      <w:r w:rsidRPr="00412DF1">
        <w:rPr>
          <w:b/>
          <w:bCs/>
          <w:sz w:val="18"/>
          <w:szCs w:val="18"/>
          <w:rtl/>
        </w:rPr>
        <w:t>[</w:t>
      </w:r>
      <w:r w:rsidRPr="00412DF1">
        <w:rPr>
          <w:b/>
          <w:bCs/>
          <w:sz w:val="18"/>
          <w:szCs w:val="18"/>
          <w:rtl/>
          <w:lang w:bidi="ar-EG"/>
        </w:rPr>
        <w:t>الأنعام: 150]،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 xml:space="preserve">ولازمة بمعنى: ايت، وأقبل، وتتعدى بإلى كقوله </w:t>
      </w:r>
      <w:r w:rsidRPr="00412DF1">
        <w:rPr>
          <w:b/>
          <w:bCs/>
          <w:position w:val="-4"/>
          <w:sz w:val="18"/>
          <w:szCs w:val="18"/>
          <w:lang w:bidi="ar-EG"/>
        </w:rPr>
        <w:t></w:t>
      </w:r>
      <w:r w:rsidRPr="00412DF1">
        <w:rPr>
          <w:b/>
          <w:bCs/>
          <w:sz w:val="18"/>
          <w:szCs w:val="18"/>
          <w:rtl/>
        </w:rPr>
        <w:t xml:space="preserve">: </w:t>
      </w:r>
      <w:r w:rsidRPr="00412DF1">
        <w:rPr>
          <w:b/>
          <w:bCs/>
          <w:color w:val="008000"/>
          <w:sz w:val="18"/>
          <w:szCs w:val="18"/>
          <w:rtl/>
        </w:rPr>
        <w:t xml:space="preserve">{ﮃ ﮄ} </w:t>
      </w:r>
      <w:r w:rsidRPr="00412DF1">
        <w:rPr>
          <w:b/>
          <w:bCs/>
          <w:sz w:val="18"/>
          <w:szCs w:val="18"/>
          <w:rtl/>
        </w:rPr>
        <w:t>[</w:t>
      </w:r>
      <w:r w:rsidRPr="00412DF1">
        <w:rPr>
          <w:b/>
          <w:bCs/>
          <w:sz w:val="18"/>
          <w:szCs w:val="18"/>
          <w:rtl/>
          <w:lang w:bidi="ar-EG"/>
        </w:rPr>
        <w:t>الأحزاب</w:t>
      </w:r>
      <w:r w:rsidRPr="00412DF1">
        <w:rPr>
          <w:b/>
          <w:bCs/>
          <w:sz w:val="18"/>
          <w:szCs w:val="18"/>
          <w:rtl/>
        </w:rPr>
        <w:t xml:space="preserve">: 18] </w:t>
      </w:r>
      <w:r w:rsidRPr="00412DF1">
        <w:rPr>
          <w:b/>
          <w:bCs/>
          <w:sz w:val="18"/>
          <w:szCs w:val="18"/>
          <w:rtl/>
          <w:lang w:bidi="ar-EG"/>
        </w:rPr>
        <w:t>والتميميون يُلحقونها العلامات، فهي عندهم فعل أمر فتتصل بها الضمائر على حد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اتصالها بالأفعال، فيقولون: هلم، وهلمي، وهلما، وهلموا، وهلممن، على حسب نوع المخاطب وعدده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استصحابًا ومراعاة لأصلها، فهي في الأصل مركبة من ها التي للتنبيه، ولُمَّ التي هي فعل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أمر من قولهم: لَمَّ الله شعثه أي: جمعه، كأنه قيل: اجمع نفسك إلينا، وحذفت ألفها لكثرة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الاستعمال، وهذا رأي أكثر البصريين، أو مِن هل الاستفهامية وأُمّ بضم الهمزة وشد الميم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بمعنى: اقصد وهو رأي الفراء، ونسب إلى الكوفيين، والمشهور بين أهل العربية أنها بسيطة،</w:t>
      </w:r>
      <w:r w:rsidRPr="00412DF1">
        <w:rPr>
          <w:b/>
          <w:bCs/>
          <w:sz w:val="18"/>
          <w:szCs w:val="18"/>
          <w:rtl/>
        </w:rPr>
        <w:t xml:space="preserve"> </w:t>
      </w:r>
      <w:r w:rsidRPr="00412DF1">
        <w:rPr>
          <w:b/>
          <w:bCs/>
          <w:sz w:val="18"/>
          <w:szCs w:val="18"/>
          <w:rtl/>
          <w:lang w:bidi="ar-EG"/>
        </w:rPr>
        <w:t>كما نقله ابن العِلْج للبسيط، بل حكى بعضهم الإجماع على بساطتها، وفيه نظر لما علمت</w:t>
      </w:r>
      <w:r w:rsidRPr="00412DF1">
        <w:rPr>
          <w:b/>
          <w:bCs/>
          <w:sz w:val="18"/>
          <w:szCs w:val="18"/>
          <w:rtl/>
        </w:rPr>
        <w:t>.</w:t>
      </w:r>
    </w:p>
    <w:p w:rsidR="00D2731F" w:rsidRDefault="00D2731F" w:rsidP="00A00D3A">
      <w:pPr>
        <w:jc w:val="center"/>
        <w:rPr>
          <w:b/>
          <w:bCs/>
          <w:sz w:val="18"/>
          <w:szCs w:val="18"/>
          <w:rtl/>
        </w:rPr>
      </w:pPr>
      <w:r w:rsidRPr="00D20229">
        <w:rPr>
          <w:b/>
          <w:bCs/>
          <w:sz w:val="18"/>
          <w:szCs w:val="18"/>
          <w:rtl/>
        </w:rPr>
        <w:t>المراجع والمصادر</w:t>
      </w:r>
    </w:p>
    <w:p w:rsidR="00D2731F" w:rsidRPr="00D20229" w:rsidRDefault="00D2731F" w:rsidP="00A00D3A">
      <w:pPr>
        <w:jc w:val="center"/>
        <w:rPr>
          <w:b/>
          <w:bCs/>
          <w:sz w:val="18"/>
          <w:szCs w:val="18"/>
          <w:rtl/>
        </w:rPr>
      </w:pP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السيوطي، </w:t>
      </w:r>
      <w:r w:rsidRPr="00D20229">
        <w:rPr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D20229">
        <w:rPr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b/>
          <w:bCs/>
          <w:sz w:val="18"/>
          <w:szCs w:val="18"/>
          <w:rtl/>
        </w:rPr>
        <w:t>.</w:t>
      </w: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D20229">
        <w:rPr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b/>
          <w:bCs/>
          <w:sz w:val="18"/>
          <w:szCs w:val="18"/>
          <w:rtl/>
        </w:rPr>
        <w:t>.</w:t>
      </w: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 w:rsidRPr="00D20229">
        <w:rPr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الأفغاني، </w:t>
      </w:r>
      <w:r w:rsidRPr="00D20229">
        <w:rPr>
          <w:b/>
          <w:bCs/>
          <w:sz w:val="18"/>
          <w:szCs w:val="18"/>
          <w:rtl/>
        </w:rPr>
        <w:t>سعيد الأفغاني، (في أصول النحو)</w:t>
      </w:r>
      <w:r>
        <w:rPr>
          <w:b/>
          <w:bCs/>
          <w:sz w:val="18"/>
          <w:szCs w:val="18"/>
          <w:rtl/>
        </w:rPr>
        <w:t xml:space="preserve"> ،بيروت، المكتب الإسلامي، 1987م.</w:t>
      </w: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سيبويه، </w:t>
      </w:r>
      <w:r w:rsidRPr="00D20229">
        <w:rPr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b/>
          <w:bCs/>
          <w:sz w:val="18"/>
          <w:szCs w:val="18"/>
          <w:rtl/>
        </w:rPr>
        <w:t>.</w:t>
      </w: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الأنباري، </w:t>
      </w:r>
      <w:r w:rsidRPr="00D20229">
        <w:rPr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b/>
          <w:bCs/>
          <w:sz w:val="18"/>
          <w:szCs w:val="18"/>
          <w:rtl/>
        </w:rPr>
        <w:t>.</w:t>
      </w: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الأفغاني، </w:t>
      </w:r>
      <w:r w:rsidRPr="00D20229">
        <w:rPr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D2731F" w:rsidRPr="00D20229" w:rsidRDefault="00D2731F" w:rsidP="00A00D3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المبارك، </w:t>
      </w:r>
      <w:r w:rsidRPr="00D20229">
        <w:rPr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b/>
          <w:bCs/>
          <w:sz w:val="18"/>
          <w:szCs w:val="18"/>
          <w:rtl/>
        </w:rPr>
        <w:t>.</w:t>
      </w:r>
    </w:p>
    <w:p w:rsidR="00D2731F" w:rsidRPr="00412DF1" w:rsidRDefault="00D2731F" w:rsidP="00A00D3A">
      <w:pPr>
        <w:pStyle w:val="a6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D2731F" w:rsidRDefault="00D2731F" w:rsidP="00412DF1">
      <w:pPr>
        <w:pStyle w:val="a4"/>
        <w:bidi/>
        <w:spacing w:before="0" w:beforeAutospacing="0" w:after="120" w:afterAutospacing="0" w:line="500" w:lineRule="exact"/>
        <w:jc w:val="lowKashida"/>
        <w:rPr>
          <w:rFonts w:cs="AL-Hotham"/>
          <w:sz w:val="32"/>
          <w:szCs w:val="32"/>
          <w:rtl/>
          <w:lang w:bidi="ar-EG"/>
        </w:rPr>
        <w:sectPr w:rsidR="00D2731F" w:rsidSect="00412DF1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D2731F" w:rsidRPr="00412DF1" w:rsidRDefault="00D2731F" w:rsidP="003347DC">
      <w:pPr>
        <w:jc w:val="center"/>
      </w:pPr>
    </w:p>
    <w:sectPr w:rsidR="00D2731F" w:rsidRPr="00412DF1" w:rsidSect="00412DF1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1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7548"/>
    <w:multiLevelType w:val="hybridMultilevel"/>
    <w:tmpl w:val="680E4920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822"/>
    <w:rsid w:val="001D6929"/>
    <w:rsid w:val="00294A2D"/>
    <w:rsid w:val="003240F4"/>
    <w:rsid w:val="003347DC"/>
    <w:rsid w:val="00412DF1"/>
    <w:rsid w:val="0044712E"/>
    <w:rsid w:val="004C07D6"/>
    <w:rsid w:val="00514443"/>
    <w:rsid w:val="00531296"/>
    <w:rsid w:val="00712822"/>
    <w:rsid w:val="00724549"/>
    <w:rsid w:val="00800E12"/>
    <w:rsid w:val="0089766D"/>
    <w:rsid w:val="009556CB"/>
    <w:rsid w:val="009757D2"/>
    <w:rsid w:val="00A00D3A"/>
    <w:rsid w:val="00BF7572"/>
    <w:rsid w:val="00CC5FE8"/>
    <w:rsid w:val="00D20229"/>
    <w:rsid w:val="00D2731F"/>
    <w:rsid w:val="00E448CC"/>
    <w:rsid w:val="00F8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2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282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412DF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12DF1"/>
    <w:pPr>
      <w:bidi w:val="0"/>
      <w:spacing w:before="100" w:beforeAutospacing="1" w:after="100" w:afterAutospacing="1"/>
    </w:pPr>
    <w:rPr>
      <w:lang w:bidi="ar-SA"/>
    </w:rPr>
  </w:style>
  <w:style w:type="paragraph" w:styleId="a5">
    <w:name w:val="header"/>
    <w:basedOn w:val="a"/>
    <w:link w:val="Char"/>
    <w:uiPriority w:val="99"/>
    <w:rsid w:val="00412DF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locked/>
    <w:rsid w:val="00412DF1"/>
    <w:rPr>
      <w:rFonts w:ascii="Times New Roman" w:hAnsi="Times New Roman" w:cs="Times New Roman"/>
      <w:sz w:val="24"/>
      <w:szCs w:val="24"/>
      <w:lang w:bidi="ar-EG"/>
    </w:rPr>
  </w:style>
  <w:style w:type="paragraph" w:styleId="a6">
    <w:name w:val="List Paragraph"/>
    <w:basedOn w:val="a"/>
    <w:uiPriority w:val="99"/>
    <w:qFormat/>
    <w:rsid w:val="00412D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5</cp:revision>
  <dcterms:created xsi:type="dcterms:W3CDTF">2013-06-11T08:10:00Z</dcterms:created>
  <dcterms:modified xsi:type="dcterms:W3CDTF">2013-06-19T13:06:00Z</dcterms:modified>
</cp:coreProperties>
</file>