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C30AF1" w:rsidRDefault="00C30AF1" w:rsidP="00C30AF1">
      <w:pPr>
        <w:jc w:val="center"/>
        <w:rPr>
          <w:sz w:val="48"/>
          <w:szCs w:val="48"/>
          <w:rtl/>
        </w:rPr>
      </w:pPr>
      <w:r w:rsidRPr="00C30AF1">
        <w:rPr>
          <w:rFonts w:ascii="Calibri" w:eastAsia="Calibri" w:hAnsi="Calibri" w:cs="AGA Rasheeq Bold" w:hint="cs"/>
          <w:sz w:val="48"/>
          <w:szCs w:val="48"/>
          <w:rtl/>
        </w:rPr>
        <w:t>تمهيد يبين أن السنة نقلت بالرواة</w:t>
      </w:r>
    </w:p>
    <w:p w:rsidR="00C30AF1" w:rsidRPr="00BB1330" w:rsidRDefault="00C30AF1" w:rsidP="00C30AF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C30AF1" w:rsidRDefault="00C30AF1" w:rsidP="00A82E19">
      <w:pPr>
        <w:pStyle w:val="Author"/>
        <w:bidi/>
        <w:rPr>
          <w:rFonts w:eastAsia="Times New Roman"/>
        </w:rPr>
      </w:pPr>
      <w:r>
        <w:rPr>
          <w:rFonts w:hint="cs"/>
          <w:i/>
          <w:iCs/>
          <w:rtl/>
        </w:rPr>
        <w:t xml:space="preserve">إعداد / </w:t>
      </w:r>
      <w:proofErr w:type="spellStart"/>
      <w:r w:rsidR="00A82E19" w:rsidRPr="00A82E19">
        <w:rPr>
          <w:rFonts w:hint="cs"/>
          <w:i/>
          <w:iCs/>
          <w:rtl/>
        </w:rPr>
        <w:t>ميريهان</w:t>
      </w:r>
      <w:proofErr w:type="spellEnd"/>
      <w:r w:rsidR="00A82E19" w:rsidRPr="00A82E19">
        <w:rPr>
          <w:rFonts w:hint="cs"/>
          <w:i/>
          <w:iCs/>
          <w:rtl/>
        </w:rPr>
        <w:t xml:space="preserve"> مجدي محمود</w:t>
      </w:r>
    </w:p>
    <w:p w:rsidR="00C30AF1" w:rsidRDefault="00C30AF1" w:rsidP="00C30AF1">
      <w:pPr>
        <w:pStyle w:val="Affiliation"/>
        <w:bidi/>
        <w:rPr>
          <w:rFonts w:eastAsia="Times New Roman"/>
        </w:rPr>
      </w:pPr>
      <w:r>
        <w:rPr>
          <w:rFonts w:hint="cs"/>
          <w:i/>
          <w:iCs/>
          <w:rtl/>
        </w:rPr>
        <w:t>قسم الدعوة وأصول الدين</w:t>
      </w:r>
    </w:p>
    <w:p w:rsidR="00C30AF1" w:rsidRDefault="00C30AF1" w:rsidP="00C30AF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C30AF1" w:rsidRDefault="00C30AF1" w:rsidP="00C30AF1">
      <w:pPr>
        <w:pStyle w:val="Affiliation"/>
        <w:bidi/>
        <w:rPr>
          <w:rtl/>
        </w:rPr>
      </w:pPr>
      <w:r>
        <w:rPr>
          <w:rFonts w:hint="cs"/>
          <w:rtl/>
        </w:rPr>
        <w:t>شاه علم - ماليزيا</w:t>
      </w:r>
    </w:p>
    <w:p w:rsidR="00C30AF1" w:rsidRDefault="00A82E19" w:rsidP="00C30AF1">
      <w:pPr>
        <w:spacing w:line="240" w:lineRule="auto"/>
        <w:jc w:val="center"/>
        <w:rPr>
          <w:rFonts w:asciiTheme="majorBidi" w:hAnsiTheme="majorBidi" w:cstheme="majorBidi"/>
          <w:b/>
          <w:bCs/>
          <w:sz w:val="18"/>
          <w:szCs w:val="18"/>
          <w:rtl/>
          <w:lang w:bidi="ar-EG"/>
        </w:rPr>
      </w:pPr>
      <w:r w:rsidRPr="00A82E19">
        <w:rPr>
          <w:rFonts w:ascii="Times New Roman" w:eastAsia="SimSun" w:hAnsi="Times New Roman" w:cs="Times New Roman"/>
          <w:i/>
          <w:iCs/>
          <w:sz w:val="20"/>
          <w:szCs w:val="20"/>
          <w:lang w:eastAsia="zh-CN"/>
        </w:rPr>
        <w:t>mirihan@mediu.ws</w:t>
      </w:r>
    </w:p>
    <w:p w:rsidR="00C30AF1" w:rsidRDefault="00C30AF1" w:rsidP="00C30AF1">
      <w:pPr>
        <w:pStyle w:val="a3"/>
        <w:jc w:val="right"/>
        <w:rPr>
          <w:rFonts w:asciiTheme="majorBidi" w:hAnsiTheme="majorBidi" w:cstheme="majorBidi"/>
          <w:b/>
          <w:bCs/>
          <w:sz w:val="18"/>
          <w:szCs w:val="18"/>
          <w:rtl/>
        </w:rPr>
        <w:sectPr w:rsidR="00C30AF1" w:rsidSect="007E639D">
          <w:pgSz w:w="11906" w:h="16838"/>
          <w:pgMar w:top="1440" w:right="1440" w:bottom="1440" w:left="1440" w:header="720" w:footer="720" w:gutter="0"/>
          <w:cols w:space="720"/>
          <w:bidi/>
          <w:rtlGutter/>
          <w:docGrid w:linePitch="360"/>
        </w:sectPr>
      </w:pPr>
    </w:p>
    <w:p w:rsidR="00C30AF1" w:rsidRPr="00C30AF1" w:rsidRDefault="00C30AF1" w:rsidP="00C30AF1">
      <w:pPr>
        <w:pStyle w:val="a3"/>
        <w:jc w:val="right"/>
        <w:rPr>
          <w:rFonts w:asciiTheme="majorBidi" w:hAnsiTheme="majorBidi" w:cstheme="majorBidi"/>
          <w:b/>
          <w:bCs/>
          <w:sz w:val="18"/>
          <w:szCs w:val="18"/>
          <w:rtl/>
        </w:rPr>
      </w:pPr>
      <w:r w:rsidRPr="00C30AF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تمهيد يبين أن السنة نقلت بالرواة</w:t>
      </w:r>
      <w:r w:rsidRPr="00C30AF1">
        <w:rPr>
          <w:rFonts w:asciiTheme="majorBidi" w:hAnsiTheme="majorBidi" w:cstheme="majorBidi"/>
          <w:b/>
          <w:bCs/>
          <w:sz w:val="18"/>
          <w:szCs w:val="18"/>
        </w:rPr>
        <w:br/>
      </w:r>
      <w:r w:rsidRPr="00C30AF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المؤرخين</w:t>
      </w:r>
      <w:r w:rsidRPr="00C30AF1">
        <w:rPr>
          <w:rFonts w:asciiTheme="majorBidi" w:hAnsiTheme="majorBidi" w:cstheme="majorBidi"/>
          <w:b/>
          <w:bCs/>
          <w:sz w:val="18"/>
          <w:szCs w:val="18"/>
          <w:rtl/>
        </w:rPr>
        <w:t xml:space="preserve">، </w:t>
      </w:r>
      <w:r>
        <w:rPr>
          <w:rFonts w:asciiTheme="majorBidi" w:hAnsiTheme="majorBidi" w:cstheme="majorBidi" w:hint="cs"/>
          <w:b/>
          <w:bCs/>
          <w:sz w:val="18"/>
          <w:szCs w:val="18"/>
          <w:rtl/>
        </w:rPr>
        <w:t>الحب</w:t>
      </w:r>
      <w:r w:rsidRPr="00C30AF1">
        <w:rPr>
          <w:rFonts w:asciiTheme="majorBidi" w:hAnsiTheme="majorBidi" w:cstheme="majorBidi"/>
          <w:b/>
          <w:bCs/>
          <w:sz w:val="18"/>
          <w:szCs w:val="18"/>
          <w:rtl/>
        </w:rPr>
        <w:t xml:space="preserve"> ، ال</w:t>
      </w:r>
      <w:r>
        <w:rPr>
          <w:rFonts w:asciiTheme="majorBidi" w:hAnsiTheme="majorBidi" w:cstheme="majorBidi" w:hint="cs"/>
          <w:b/>
          <w:bCs/>
          <w:sz w:val="18"/>
          <w:szCs w:val="18"/>
          <w:rtl/>
        </w:rPr>
        <w:t>حماسة</w:t>
      </w:r>
    </w:p>
    <w:p w:rsidR="00C30AF1" w:rsidRPr="00C30AF1" w:rsidRDefault="00C30AF1" w:rsidP="00C30AF1">
      <w:pPr>
        <w:pStyle w:val="a3"/>
        <w:jc w:val="center"/>
        <w:rPr>
          <w:rFonts w:asciiTheme="majorBidi" w:hAnsiTheme="majorBidi" w:cstheme="majorBidi"/>
          <w:b/>
          <w:bCs/>
          <w:sz w:val="18"/>
          <w:szCs w:val="18"/>
          <w:lang w:bidi="ar-EG"/>
        </w:rPr>
      </w:pPr>
      <w:r w:rsidRPr="00C30AF1">
        <w:rPr>
          <w:rFonts w:asciiTheme="majorBidi" w:hAnsiTheme="majorBidi" w:cstheme="majorBidi"/>
          <w:b/>
          <w:bCs/>
          <w:sz w:val="18"/>
          <w:szCs w:val="18"/>
          <w:rtl/>
        </w:rPr>
        <w:t>المقدمة</w:t>
      </w:r>
      <w:r w:rsidRPr="00C30AF1">
        <w:rPr>
          <w:rFonts w:asciiTheme="majorBidi" w:hAnsiTheme="majorBidi" w:cstheme="majorBidi"/>
          <w:b/>
          <w:bCs/>
          <w:sz w:val="18"/>
          <w:szCs w:val="18"/>
          <w:lang w:bidi="ar-EG"/>
        </w:rPr>
        <w:t>.I</w:t>
      </w:r>
    </w:p>
    <w:p w:rsidR="00C30AF1" w:rsidRPr="00C30AF1" w:rsidRDefault="00C30AF1" w:rsidP="00C30AF1">
      <w:pPr>
        <w:pStyle w:val="a3"/>
        <w:jc w:val="right"/>
        <w:rPr>
          <w:rFonts w:asciiTheme="majorBidi" w:hAnsiTheme="majorBidi" w:cstheme="majorBidi"/>
          <w:b/>
          <w:bCs/>
          <w:sz w:val="18"/>
          <w:szCs w:val="18"/>
          <w:rtl/>
        </w:rPr>
      </w:pPr>
      <w:r w:rsidRPr="00C30AF1">
        <w:rPr>
          <w:rFonts w:asciiTheme="majorBidi" w:hAnsiTheme="majorBidi" w:cstheme="majorBidi"/>
          <w:b/>
          <w:bCs/>
          <w:sz w:val="18"/>
          <w:szCs w:val="18"/>
        </w:rPr>
        <w:br/>
      </w:r>
      <w:r w:rsidRPr="00C30AF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تمهيد يبين أن السنة نقلت بالرواة</w:t>
      </w:r>
    </w:p>
    <w:p w:rsidR="00C30AF1" w:rsidRPr="00C30AF1" w:rsidRDefault="00C30AF1" w:rsidP="00C30AF1">
      <w:pPr>
        <w:pStyle w:val="a3"/>
        <w:jc w:val="center"/>
        <w:rPr>
          <w:rFonts w:asciiTheme="majorBidi" w:hAnsiTheme="majorBidi" w:cstheme="majorBidi"/>
          <w:b/>
          <w:bCs/>
          <w:sz w:val="18"/>
          <w:szCs w:val="18"/>
        </w:rPr>
      </w:pPr>
      <w:r w:rsidRPr="00C30AF1">
        <w:rPr>
          <w:rFonts w:asciiTheme="majorBidi" w:hAnsiTheme="majorBidi" w:cstheme="majorBidi"/>
          <w:b/>
          <w:bCs/>
          <w:sz w:val="18"/>
          <w:szCs w:val="18"/>
        </w:rPr>
        <w:br/>
      </w:r>
      <w:r w:rsidRPr="00C30AF1">
        <w:rPr>
          <w:rFonts w:asciiTheme="majorBidi" w:hAnsiTheme="majorBidi" w:cstheme="majorBidi"/>
          <w:b/>
          <w:bCs/>
          <w:sz w:val="18"/>
          <w:szCs w:val="18"/>
          <w:rtl/>
        </w:rPr>
        <w:t>.عنوان المقال</w:t>
      </w:r>
      <w:r w:rsidRPr="00C30AF1">
        <w:rPr>
          <w:rFonts w:asciiTheme="majorBidi" w:hAnsiTheme="majorBidi" w:cstheme="majorBidi"/>
          <w:b/>
          <w:bCs/>
          <w:sz w:val="18"/>
          <w:szCs w:val="18"/>
        </w:rPr>
        <w:t>II</w:t>
      </w:r>
    </w:p>
    <w:p w:rsidR="00C30AF1" w:rsidRPr="00C30AF1" w:rsidRDefault="00C30AF1" w:rsidP="00C30AF1">
      <w:pPr>
        <w:pStyle w:val="a3"/>
        <w:bidi/>
        <w:spacing w:before="0" w:beforeAutospacing="0" w:after="120" w:afterAutospacing="0"/>
        <w:jc w:val="lowKashida"/>
        <w:rPr>
          <w:rFonts w:asciiTheme="majorBidi" w:hAnsiTheme="majorBidi" w:cstheme="majorBidi"/>
          <w:b/>
          <w:bCs/>
          <w:sz w:val="18"/>
          <w:szCs w:val="18"/>
        </w:rPr>
      </w:pPr>
      <w:r w:rsidRPr="00C30AF1">
        <w:rPr>
          <w:rFonts w:asciiTheme="majorBidi" w:hAnsiTheme="majorBidi" w:cstheme="majorBidi"/>
          <w:b/>
          <w:bCs/>
          <w:sz w:val="18"/>
          <w:szCs w:val="18"/>
          <w:rtl/>
        </w:rPr>
        <w:t>لقد اتفق المؤرخون في العالم أن الحبّ والحماسة اللذين يكنَّهما المسلمون لنبيهم الكريم  ليس لهما مثيل ولا نظير في حضارة أمة من الأمم، وتاريخها، وثقافتها، لقد بذل علماء هذه الأمة قُصارى جهودهم في حفظ الحديث، وبحثوا عن كل ما يتعلَّق بالحديث النبوي رواية ودراية، وخَطَو خطوات جليلة كفلت السنة الشريفة من العبث والضياع، حتى صار هذا الأمر مبعث العجب والدهشة في التاريخ الإنساني، والذين وهبوا حياتهم منذ العصر النبوي على حفظ أقوال النبي  ورواية أحاديثه، وكل ما يتعلق بحياته أدَّوها إلى من ضبطوها بعدهم وكتبوها، هؤلاء يُسمَّون رجال الحديث أو المحدثين، وهم طبقات مسلسلة من الصحابة والتابعين وتابعي التابعين حتى وافى القرن الرابع.</w:t>
      </w:r>
    </w:p>
    <w:p w:rsidR="00C30AF1" w:rsidRPr="00C30AF1" w:rsidRDefault="00C30AF1" w:rsidP="00C30AF1">
      <w:pPr>
        <w:pStyle w:val="a3"/>
        <w:bidi/>
        <w:spacing w:before="0" w:beforeAutospacing="0" w:after="120" w:afterAutospacing="0"/>
        <w:jc w:val="lowKashida"/>
        <w:rPr>
          <w:rFonts w:asciiTheme="majorBidi" w:hAnsiTheme="majorBidi" w:cstheme="majorBidi"/>
          <w:b/>
          <w:bCs/>
          <w:sz w:val="18"/>
          <w:szCs w:val="18"/>
        </w:rPr>
      </w:pPr>
      <w:r w:rsidRPr="00C30AF1">
        <w:rPr>
          <w:rFonts w:asciiTheme="majorBidi" w:hAnsiTheme="majorBidi" w:cstheme="majorBidi"/>
          <w:b/>
          <w:bCs/>
          <w:sz w:val="18"/>
          <w:szCs w:val="18"/>
          <w:rtl/>
        </w:rPr>
        <w:t>فلما كمُلت هذه الذخيرة التاريخية جمعًا وكتابة وتدوينًا؛ جعل العلماء يكتبون سير هؤلاء الرواة من الصحابة والتابعين، ومن بعدهم العلماء الذين رَوَوْا شيئًا مما يتعلق بحياة رسول الله  فكتبوا أسماءهم، وكناهم، وأنسابهم، ومنشأهم، وأخلاقهم، وعاداتهم، وبالاختصار أحصوا شئون حياتهم كلها حتى أصبح ما كتبوا في هذا الباب علمًا مستقلًّا سُمّي فيما بعد علم رجال الحديث، أو أسماء الرجال. كما ألفوا مصنفات ضخمة في الرواة، وأقول الأئمة في الجرح والتعديل، وكل ذلك لكي لا يختلط الكذابون والضعفاء بالعدول الثقات، ثم جمعوا أحوال ألوف من رواة الحديث بعد التحقيق والفحص؛ بحيث لا يوجد له نظير في تاريخ العالم لا قديمًا ولا حديثًا.</w:t>
      </w:r>
    </w:p>
    <w:p w:rsidR="00C30AF1" w:rsidRPr="00C30AF1" w:rsidRDefault="00C30AF1" w:rsidP="00C30AF1">
      <w:pPr>
        <w:pStyle w:val="a3"/>
        <w:bidi/>
        <w:spacing w:before="0" w:beforeAutospacing="0" w:after="120" w:afterAutospacing="0"/>
        <w:jc w:val="lowKashida"/>
        <w:rPr>
          <w:rFonts w:asciiTheme="majorBidi" w:hAnsiTheme="majorBidi" w:cstheme="majorBidi"/>
          <w:b/>
          <w:bCs/>
          <w:sz w:val="18"/>
          <w:szCs w:val="18"/>
          <w:rtl/>
        </w:rPr>
      </w:pPr>
      <w:r w:rsidRPr="00C30AF1">
        <w:rPr>
          <w:rFonts w:asciiTheme="majorBidi" w:hAnsiTheme="majorBidi" w:cstheme="majorBidi"/>
          <w:b/>
          <w:bCs/>
          <w:sz w:val="18"/>
          <w:szCs w:val="18"/>
          <w:rtl/>
        </w:rPr>
        <w:t>وبهذا استطاعوا أن يقدموا للحضارة الإنسانية أعظم إنتاج في هذا المضمار يفتخر به المسلمون أبد الدهر، قال بعض المستشرقين -وهو من أعداء الإسلام- في مقدمته لكتاب (الإصابة) المطبوع في الهند: "فلم تكن فيما مضى أمة من الأمم السالفة، كما أنه لا توجد الآن أمة من الأمم المعاصرة أتت في علم أسماء الرجال بمثل ما أتى به المسلمون في هذا العلم العظيم الخطير، الذي يتناول أحوال خمسمائة ألف رجل، ويتناول شئون حياتهم".</w:t>
      </w:r>
    </w:p>
    <w:p w:rsidR="00C30AF1" w:rsidRPr="00C30AF1" w:rsidRDefault="00C30AF1" w:rsidP="00C30AF1">
      <w:pPr>
        <w:pStyle w:val="a4"/>
        <w:spacing w:line="240" w:lineRule="auto"/>
        <w:ind w:left="373"/>
        <w:jc w:val="center"/>
        <w:rPr>
          <w:rFonts w:asciiTheme="majorBidi" w:hAnsiTheme="majorBidi" w:cstheme="majorBidi"/>
          <w:b/>
          <w:bCs/>
          <w:sz w:val="18"/>
          <w:szCs w:val="18"/>
          <w:rtl/>
        </w:rPr>
      </w:pPr>
      <w:r w:rsidRPr="00C30AF1">
        <w:rPr>
          <w:rFonts w:asciiTheme="majorBidi" w:hAnsiTheme="majorBidi" w:cstheme="majorBidi"/>
          <w:b/>
          <w:bCs/>
          <w:sz w:val="18"/>
          <w:szCs w:val="18"/>
          <w:rtl/>
        </w:rPr>
        <w:t>المراجع والمصادر</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(علم رجال الحديث) </w:t>
      </w:r>
    </w:p>
    <w:p w:rsidR="00C30AF1" w:rsidRPr="00C30AF1" w:rsidRDefault="00C30AF1" w:rsidP="00C30AF1">
      <w:pPr>
        <w:spacing w:after="120" w:line="240" w:lineRule="auto"/>
        <w:ind w:left="227" w:firstLine="283"/>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تقي الدين الندوي المظاهري، المدينة المنورة، مكتبة الإيمان، 1987م.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rPr>
      </w:pPr>
      <w:r w:rsidRPr="00C30AF1">
        <w:rPr>
          <w:rFonts w:asciiTheme="majorBidi" w:hAnsiTheme="majorBidi" w:cstheme="majorBidi"/>
          <w:b/>
          <w:bCs/>
          <w:sz w:val="18"/>
          <w:szCs w:val="18"/>
          <w:rtl/>
          <w:lang w:bidi="ar-EG"/>
        </w:rPr>
        <w:t xml:space="preserve">(علم الرجال وأهميته) </w:t>
      </w:r>
    </w:p>
    <w:p w:rsidR="00C30AF1" w:rsidRPr="00C30AF1" w:rsidRDefault="00C30AF1" w:rsidP="00C30AF1">
      <w:pPr>
        <w:spacing w:after="120" w:line="240" w:lineRule="auto"/>
        <w:ind w:left="510"/>
        <w:jc w:val="lowKashida"/>
        <w:rPr>
          <w:rFonts w:asciiTheme="majorBidi" w:hAnsiTheme="majorBidi" w:cstheme="majorBidi"/>
          <w:b/>
          <w:bCs/>
          <w:sz w:val="18"/>
          <w:szCs w:val="18"/>
          <w:rtl/>
        </w:rPr>
      </w:pPr>
      <w:r w:rsidRPr="00C30AF1">
        <w:rPr>
          <w:rFonts w:asciiTheme="majorBidi" w:hAnsiTheme="majorBidi" w:cstheme="majorBidi"/>
          <w:b/>
          <w:bCs/>
          <w:sz w:val="18"/>
          <w:szCs w:val="18"/>
          <w:rtl/>
          <w:lang w:bidi="ar-EG"/>
        </w:rPr>
        <w:lastRenderedPageBreak/>
        <w:t>عبد الرحمن بن يحيى المعلمي اليماني, دار الراية للنشر والتوزيع, 1417هـ.</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(علم طبقات المحدثين: أهميته وفوائده) </w:t>
      </w:r>
    </w:p>
    <w:p w:rsidR="00C30AF1" w:rsidRPr="00C30AF1" w:rsidRDefault="00C30AF1" w:rsidP="00C30AF1">
      <w:pPr>
        <w:spacing w:after="120" w:line="240" w:lineRule="auto"/>
        <w:ind w:left="227" w:firstLine="283"/>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أسعد سالم يتم، مكتبة الرشد, 1994م.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(تاريخ خليفة بن خياط)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(الطبقات) </w:t>
      </w:r>
    </w:p>
    <w:p w:rsidR="00C30AF1" w:rsidRPr="00C30AF1" w:rsidRDefault="00C30AF1" w:rsidP="00C30AF1">
      <w:pPr>
        <w:spacing w:after="120" w:line="240" w:lineRule="auto"/>
        <w:ind w:left="227" w:firstLine="283"/>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خليفة بن خياط الشيباني، الرياض، دار طيبة،1982م.</w:t>
      </w:r>
    </w:p>
    <w:p w:rsidR="00C30AF1" w:rsidRPr="00C30AF1" w:rsidRDefault="00C30AF1" w:rsidP="00C30AF1">
      <w:pPr>
        <w:numPr>
          <w:ilvl w:val="0"/>
          <w:numId w:val="1"/>
        </w:numPr>
        <w:spacing w:after="120" w:line="240" w:lineRule="auto"/>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(التاريخ الكبير) </w:t>
      </w:r>
    </w:p>
    <w:p w:rsidR="00C30AF1" w:rsidRPr="00C30AF1" w:rsidRDefault="00C30AF1" w:rsidP="00C30AF1">
      <w:pPr>
        <w:spacing w:after="120" w:line="240" w:lineRule="auto"/>
        <w:ind w:left="510"/>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عبد الله بن اسماعيل بن ابراهيم البخاري، بيروت، دار الكتب العلمية، 1884م.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(الجرح والتعديل)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(مناهج المحدِّثين في</w:t>
      </w:r>
      <w:r w:rsidRPr="00C30AF1">
        <w:rPr>
          <w:rFonts w:asciiTheme="majorBidi" w:hAnsiTheme="majorBidi" w:cstheme="majorBidi"/>
          <w:b/>
          <w:bCs/>
          <w:sz w:val="18"/>
          <w:szCs w:val="18"/>
          <w:lang w:bidi="ar-EG"/>
        </w:rPr>
        <w:t xml:space="preserve"> </w:t>
      </w:r>
      <w:r w:rsidRPr="00C30AF1">
        <w:rPr>
          <w:rFonts w:asciiTheme="majorBidi" w:hAnsiTheme="majorBidi" w:cstheme="majorBidi"/>
          <w:b/>
          <w:bCs/>
          <w:sz w:val="18"/>
          <w:szCs w:val="18"/>
          <w:rtl/>
          <w:lang w:bidi="ar-EG"/>
        </w:rPr>
        <w:t xml:space="preserve">رواية الحديث بالمعنى)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عبد الرزاق بن خليفة الشايجي، بيروت، دار ابن حزم للطباعة والنشر، 1419هـ.</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(الضوء اللامع المبين عن مناهج المحدثين) </w:t>
      </w:r>
    </w:p>
    <w:p w:rsidR="00C30AF1" w:rsidRPr="00C30AF1" w:rsidRDefault="00C30AF1" w:rsidP="00C30AF1">
      <w:pPr>
        <w:spacing w:after="120" w:line="240" w:lineRule="auto"/>
        <w:ind w:left="227" w:firstLine="283"/>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أحمد محرم الشيخ ناجي, مطبعة الصفا والمروة, 2001م.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(من روى عن أبيه عن جده)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(الرواة من الأخوة والأخوات)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(الكنى والأسماء) </w:t>
      </w:r>
    </w:p>
    <w:p w:rsidR="00C30AF1" w:rsidRPr="00C30AF1" w:rsidRDefault="00C30AF1" w:rsidP="00C30AF1">
      <w:pPr>
        <w:spacing w:after="120" w:line="240" w:lineRule="auto"/>
        <w:ind w:left="227" w:firstLine="283"/>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محمد بن أحمد الدولابي،حيدر آباد، دائرة المعارف النظامية، 1322هـ.</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(طبقات الحنابلة) </w:t>
      </w:r>
    </w:p>
    <w:p w:rsidR="00C30AF1" w:rsidRPr="00C30AF1" w:rsidRDefault="00C30AF1" w:rsidP="00C30AF1">
      <w:pPr>
        <w:spacing w:after="120" w:line="240" w:lineRule="auto"/>
        <w:ind w:left="510"/>
        <w:jc w:val="lowKashida"/>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محمد بن محمد بن الحسين البغدادي أبو يعلى</w:t>
      </w:r>
      <w:r w:rsidRPr="00C30AF1">
        <w:rPr>
          <w:rFonts w:asciiTheme="majorBidi" w:hAnsiTheme="majorBidi" w:cstheme="majorBidi"/>
          <w:b/>
          <w:bCs/>
          <w:sz w:val="18"/>
          <w:szCs w:val="18"/>
          <w:lang w:bidi="ar-EG"/>
        </w:rPr>
        <w:t xml:space="preserve"> </w:t>
      </w:r>
      <w:r w:rsidRPr="00C30AF1">
        <w:rPr>
          <w:rFonts w:asciiTheme="majorBidi" w:hAnsiTheme="majorBidi" w:cstheme="majorBidi"/>
          <w:b/>
          <w:bCs/>
          <w:sz w:val="18"/>
          <w:szCs w:val="18"/>
          <w:rtl/>
          <w:lang w:bidi="ar-EG"/>
        </w:rPr>
        <w:t>الحنبلي، مطبعة السّنة المحمدية، 1371هـ.</w:t>
      </w:r>
    </w:p>
    <w:p w:rsidR="00C30AF1" w:rsidRPr="00C30AF1" w:rsidRDefault="00C30AF1" w:rsidP="00C30AF1">
      <w:pPr>
        <w:numPr>
          <w:ilvl w:val="0"/>
          <w:numId w:val="1"/>
        </w:numPr>
        <w:spacing w:after="120" w:line="240" w:lineRule="auto"/>
        <w:jc w:val="lowKashida"/>
        <w:rPr>
          <w:rFonts w:asciiTheme="majorBidi" w:hAnsiTheme="majorBidi" w:cstheme="majorBidi"/>
          <w:b/>
          <w:bCs/>
          <w:sz w:val="18"/>
          <w:szCs w:val="18"/>
          <w:lang w:bidi="ar-EG"/>
        </w:rPr>
      </w:pPr>
      <w:r w:rsidRPr="00C30AF1">
        <w:rPr>
          <w:rFonts w:asciiTheme="majorBidi" w:hAnsiTheme="majorBidi" w:cstheme="majorBidi"/>
          <w:b/>
          <w:bCs/>
          <w:sz w:val="18"/>
          <w:szCs w:val="18"/>
          <w:rtl/>
          <w:lang w:bidi="ar-EG"/>
        </w:rPr>
        <w:t xml:space="preserve">(الطبقات الكبرى) </w:t>
      </w:r>
    </w:p>
    <w:p w:rsidR="00C30AF1" w:rsidRPr="00C30AF1" w:rsidRDefault="00C30AF1" w:rsidP="00C30AF1">
      <w:pPr>
        <w:pStyle w:val="a4"/>
        <w:spacing w:line="240" w:lineRule="auto"/>
        <w:ind w:left="373" w:firstLine="193"/>
        <w:rPr>
          <w:rFonts w:asciiTheme="majorBidi" w:hAnsiTheme="majorBidi" w:cstheme="majorBidi"/>
          <w:b/>
          <w:bCs/>
          <w:sz w:val="18"/>
          <w:szCs w:val="18"/>
          <w:rtl/>
          <w:lang w:bidi="ar-EG"/>
        </w:rPr>
      </w:pPr>
      <w:r w:rsidRPr="00C30AF1">
        <w:rPr>
          <w:rFonts w:asciiTheme="majorBidi" w:hAnsiTheme="majorBidi" w:cstheme="majorBidi"/>
          <w:b/>
          <w:bCs/>
          <w:sz w:val="18"/>
          <w:szCs w:val="18"/>
          <w:rtl/>
          <w:lang w:bidi="ar-EG"/>
        </w:rPr>
        <w:t>ابن سعد محمد بن سعد، تحقيق: إحسان عباس، دار بيروت للطباعة والنشر، 1405هـ.</w:t>
      </w:r>
    </w:p>
    <w:p w:rsidR="00C30AF1" w:rsidRDefault="00C30AF1" w:rsidP="00C30AF1">
      <w:pPr>
        <w:rPr>
          <w:rtl/>
          <w:lang w:bidi="ar-EG"/>
        </w:rPr>
        <w:sectPr w:rsidR="00C30AF1" w:rsidSect="00C30AF1">
          <w:type w:val="continuous"/>
          <w:pgSz w:w="11906" w:h="16838"/>
          <w:pgMar w:top="1440" w:right="1440" w:bottom="1440" w:left="1440" w:header="720" w:footer="720" w:gutter="0"/>
          <w:cols w:num="2" w:space="720"/>
          <w:bidi/>
          <w:rtlGutter/>
          <w:docGrid w:linePitch="360"/>
        </w:sectPr>
      </w:pPr>
    </w:p>
    <w:p w:rsidR="00C30AF1" w:rsidRDefault="00C30AF1" w:rsidP="00C30AF1">
      <w:pPr>
        <w:rPr>
          <w:lang w:bidi="ar-EG"/>
        </w:rPr>
      </w:pPr>
    </w:p>
    <w:sectPr w:rsidR="00C30AF1" w:rsidSect="00C30AF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30AF1"/>
    <w:rsid w:val="006D3949"/>
    <w:rsid w:val="00752D19"/>
    <w:rsid w:val="007E639D"/>
    <w:rsid w:val="00A82E19"/>
    <w:rsid w:val="00BA15A9"/>
    <w:rsid w:val="00C30A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C30AF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30AF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C30A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30A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2013-06-13T17:21:00Z</dcterms:created>
  <dcterms:modified xsi:type="dcterms:W3CDTF">2013-06-16T11:51:00Z</dcterms:modified>
</cp:coreProperties>
</file>