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C25D7B" w:rsidRDefault="00C25D7B" w:rsidP="00C25D7B">
      <w:pPr>
        <w:jc w:val="center"/>
        <w:rPr>
          <w:sz w:val="48"/>
          <w:szCs w:val="48"/>
          <w:rtl/>
        </w:rPr>
      </w:pPr>
      <w:r w:rsidRPr="00C25D7B">
        <w:rPr>
          <w:rFonts w:ascii="Calibri" w:eastAsia="Calibri" w:hAnsi="Calibri" w:cs="AGA Rasheeq Bold" w:hint="cs"/>
          <w:sz w:val="48"/>
          <w:szCs w:val="48"/>
          <w:rtl/>
        </w:rPr>
        <w:t>طرق معرفة الصحبة</w:t>
      </w:r>
    </w:p>
    <w:p w:rsidR="00C25D7B" w:rsidRPr="00BB1330" w:rsidRDefault="00C25D7B" w:rsidP="00C25D7B">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C25D7B" w:rsidRDefault="00C25D7B" w:rsidP="00A8628C">
      <w:pPr>
        <w:pStyle w:val="Author"/>
        <w:bidi/>
        <w:rPr>
          <w:rFonts w:eastAsia="Times New Roman"/>
        </w:rPr>
      </w:pPr>
      <w:r>
        <w:rPr>
          <w:rFonts w:hint="cs"/>
          <w:i/>
          <w:iCs/>
          <w:rtl/>
        </w:rPr>
        <w:t xml:space="preserve">إعداد / </w:t>
      </w:r>
      <w:r w:rsidR="00A8628C" w:rsidRPr="00A8628C">
        <w:rPr>
          <w:i/>
          <w:iCs/>
          <w:rtl/>
        </w:rPr>
        <w:t>أيمن محمد أبو</w:t>
      </w:r>
      <w:r w:rsidR="00A8628C" w:rsidRPr="00A8628C">
        <w:rPr>
          <w:rFonts w:hint="cs"/>
          <w:i/>
          <w:iCs/>
          <w:rtl/>
        </w:rPr>
        <w:t xml:space="preserve"> </w:t>
      </w:r>
      <w:r w:rsidR="00A8628C" w:rsidRPr="00A8628C">
        <w:rPr>
          <w:i/>
          <w:iCs/>
          <w:rtl/>
        </w:rPr>
        <w:t>بكر</w:t>
      </w:r>
    </w:p>
    <w:p w:rsidR="00C25D7B" w:rsidRDefault="00C25D7B" w:rsidP="00C25D7B">
      <w:pPr>
        <w:pStyle w:val="Affiliation"/>
        <w:bidi/>
        <w:rPr>
          <w:rFonts w:eastAsia="Times New Roman"/>
        </w:rPr>
      </w:pPr>
      <w:r>
        <w:rPr>
          <w:rFonts w:hint="cs"/>
          <w:i/>
          <w:iCs/>
          <w:rtl/>
        </w:rPr>
        <w:t>قسم الدعوة وأصول الدين</w:t>
      </w:r>
    </w:p>
    <w:p w:rsidR="00C25D7B" w:rsidRDefault="00C25D7B" w:rsidP="00C25D7B">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C25D7B" w:rsidRDefault="00C25D7B" w:rsidP="00C25D7B">
      <w:pPr>
        <w:pStyle w:val="Affiliation"/>
        <w:bidi/>
        <w:rPr>
          <w:rtl/>
        </w:rPr>
      </w:pPr>
      <w:r>
        <w:rPr>
          <w:rFonts w:hint="cs"/>
          <w:rtl/>
        </w:rPr>
        <w:t>شاه علم - ماليزيا</w:t>
      </w:r>
    </w:p>
    <w:p w:rsidR="00C25D7B" w:rsidRDefault="00A8628C" w:rsidP="00C25D7B">
      <w:pPr>
        <w:spacing w:line="240" w:lineRule="auto"/>
        <w:jc w:val="center"/>
        <w:rPr>
          <w:rFonts w:asciiTheme="majorBidi" w:hAnsiTheme="majorBidi" w:cstheme="majorBidi"/>
          <w:b/>
          <w:bCs/>
          <w:sz w:val="18"/>
          <w:szCs w:val="18"/>
          <w:rtl/>
          <w:lang w:bidi="ar-EG"/>
        </w:rPr>
      </w:pPr>
      <w:r w:rsidRPr="00A8628C">
        <w:rPr>
          <w:rFonts w:ascii="Times New Roman" w:eastAsia="SimSun" w:hAnsi="Times New Roman" w:cs="Times New Roman"/>
          <w:i/>
          <w:iCs/>
          <w:sz w:val="20"/>
          <w:szCs w:val="20"/>
          <w:lang w:eastAsia="zh-CN" w:bidi="ar-EG"/>
        </w:rPr>
        <w:t>ayman.abobakr@mediu.ws</w:t>
      </w:r>
    </w:p>
    <w:p w:rsidR="00C25D7B" w:rsidRDefault="00C25D7B" w:rsidP="00C25D7B">
      <w:pPr>
        <w:pStyle w:val="a3"/>
        <w:jc w:val="right"/>
        <w:rPr>
          <w:rFonts w:asciiTheme="majorBidi" w:hAnsiTheme="majorBidi" w:cstheme="majorBidi"/>
          <w:b/>
          <w:bCs/>
          <w:sz w:val="18"/>
          <w:szCs w:val="18"/>
          <w:rtl/>
        </w:rPr>
        <w:sectPr w:rsidR="00C25D7B" w:rsidSect="007E639D">
          <w:pgSz w:w="11906" w:h="16838"/>
          <w:pgMar w:top="1440" w:right="1440" w:bottom="1440" w:left="1440" w:header="720" w:footer="720" w:gutter="0"/>
          <w:cols w:space="720"/>
          <w:bidi/>
          <w:rtlGutter/>
          <w:docGrid w:linePitch="360"/>
        </w:sectPr>
      </w:pPr>
    </w:p>
    <w:p w:rsidR="00C25D7B" w:rsidRPr="00C25D7B" w:rsidRDefault="00C25D7B" w:rsidP="00C25D7B">
      <w:pPr>
        <w:pStyle w:val="a3"/>
        <w:jc w:val="right"/>
        <w:rPr>
          <w:rFonts w:asciiTheme="majorBidi" w:hAnsiTheme="majorBidi" w:cstheme="majorBidi"/>
          <w:b/>
          <w:bCs/>
          <w:sz w:val="18"/>
          <w:szCs w:val="18"/>
          <w:rtl/>
          <w:lang w:bidi="ar-EG"/>
        </w:rPr>
      </w:pPr>
      <w:r w:rsidRPr="00C25D7B">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طرق معرفة الصحبة</w:t>
      </w:r>
      <w:r w:rsidRPr="00C25D7B">
        <w:rPr>
          <w:rFonts w:asciiTheme="majorBidi" w:hAnsiTheme="majorBidi" w:cstheme="majorBidi"/>
          <w:b/>
          <w:bCs/>
          <w:sz w:val="18"/>
          <w:szCs w:val="18"/>
        </w:rPr>
        <w:br/>
      </w:r>
      <w:r w:rsidRPr="00C25D7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التواتر</w:t>
      </w:r>
      <w:r w:rsidRPr="00C25D7B">
        <w:rPr>
          <w:rFonts w:asciiTheme="majorBidi" w:hAnsiTheme="majorBidi" w:cstheme="majorBidi"/>
          <w:b/>
          <w:bCs/>
          <w:sz w:val="18"/>
          <w:szCs w:val="18"/>
          <w:rtl/>
        </w:rPr>
        <w:t xml:space="preserve">، </w:t>
      </w:r>
      <w:r>
        <w:rPr>
          <w:rFonts w:asciiTheme="majorBidi" w:hAnsiTheme="majorBidi" w:cstheme="majorBidi" w:hint="cs"/>
          <w:b/>
          <w:bCs/>
          <w:sz w:val="18"/>
          <w:szCs w:val="18"/>
          <w:rtl/>
        </w:rPr>
        <w:t>المبشرين</w:t>
      </w:r>
      <w:r w:rsidRPr="00C25D7B">
        <w:rPr>
          <w:rFonts w:asciiTheme="majorBidi" w:hAnsiTheme="majorBidi" w:cstheme="majorBidi"/>
          <w:b/>
          <w:bCs/>
          <w:sz w:val="18"/>
          <w:szCs w:val="18"/>
          <w:rtl/>
        </w:rPr>
        <w:t xml:space="preserve"> ، </w:t>
      </w:r>
      <w:r>
        <w:rPr>
          <w:rFonts w:asciiTheme="majorBidi" w:hAnsiTheme="majorBidi" w:cstheme="majorBidi" w:hint="cs"/>
          <w:b/>
          <w:bCs/>
          <w:sz w:val="18"/>
          <w:szCs w:val="18"/>
          <w:rtl/>
        </w:rPr>
        <w:t>الاستضافة</w:t>
      </w:r>
      <w:r w:rsidRPr="00C25D7B">
        <w:rPr>
          <w:rFonts w:asciiTheme="majorBidi" w:hAnsiTheme="majorBidi" w:cstheme="majorBidi"/>
          <w:b/>
          <w:bCs/>
          <w:sz w:val="18"/>
          <w:szCs w:val="18"/>
          <w:rtl/>
        </w:rPr>
        <w:t xml:space="preserve"> </w:t>
      </w:r>
    </w:p>
    <w:p w:rsidR="00C25D7B" w:rsidRPr="00C25D7B" w:rsidRDefault="00C25D7B" w:rsidP="00C25D7B">
      <w:pPr>
        <w:pStyle w:val="a3"/>
        <w:jc w:val="center"/>
        <w:rPr>
          <w:rFonts w:asciiTheme="majorBidi" w:hAnsiTheme="majorBidi" w:cstheme="majorBidi"/>
          <w:b/>
          <w:bCs/>
          <w:sz w:val="18"/>
          <w:szCs w:val="18"/>
          <w:lang w:bidi="ar-EG"/>
        </w:rPr>
      </w:pPr>
      <w:r w:rsidRPr="00C25D7B">
        <w:rPr>
          <w:rFonts w:asciiTheme="majorBidi" w:hAnsiTheme="majorBidi" w:cstheme="majorBidi"/>
          <w:b/>
          <w:bCs/>
          <w:sz w:val="18"/>
          <w:szCs w:val="18"/>
          <w:rtl/>
        </w:rPr>
        <w:t>المقدمة</w:t>
      </w:r>
      <w:r w:rsidRPr="00C25D7B">
        <w:rPr>
          <w:rFonts w:asciiTheme="majorBidi" w:hAnsiTheme="majorBidi" w:cstheme="majorBidi"/>
          <w:b/>
          <w:bCs/>
          <w:sz w:val="18"/>
          <w:szCs w:val="18"/>
          <w:lang w:bidi="ar-EG"/>
        </w:rPr>
        <w:t>.I</w:t>
      </w:r>
    </w:p>
    <w:p w:rsidR="00C25D7B" w:rsidRPr="00C25D7B" w:rsidRDefault="00C25D7B" w:rsidP="00C25D7B">
      <w:pPr>
        <w:pStyle w:val="a3"/>
        <w:jc w:val="right"/>
        <w:rPr>
          <w:rFonts w:asciiTheme="majorBidi" w:hAnsiTheme="majorBidi" w:cstheme="majorBidi"/>
          <w:b/>
          <w:bCs/>
          <w:sz w:val="18"/>
          <w:szCs w:val="18"/>
          <w:rtl/>
        </w:rPr>
      </w:pPr>
      <w:r w:rsidRPr="00C25D7B">
        <w:rPr>
          <w:rFonts w:asciiTheme="majorBidi" w:hAnsiTheme="majorBidi" w:cstheme="majorBidi"/>
          <w:b/>
          <w:bCs/>
          <w:sz w:val="18"/>
          <w:szCs w:val="18"/>
        </w:rPr>
        <w:br/>
      </w:r>
      <w:r w:rsidRPr="00C25D7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طرق معرفة الصحبة</w:t>
      </w:r>
    </w:p>
    <w:p w:rsidR="00C25D7B" w:rsidRPr="00C25D7B" w:rsidRDefault="00C25D7B" w:rsidP="00C25D7B">
      <w:pPr>
        <w:pStyle w:val="a3"/>
        <w:jc w:val="center"/>
        <w:rPr>
          <w:rFonts w:asciiTheme="majorBidi" w:hAnsiTheme="majorBidi" w:cstheme="majorBidi"/>
          <w:b/>
          <w:bCs/>
          <w:sz w:val="18"/>
          <w:szCs w:val="18"/>
        </w:rPr>
      </w:pPr>
      <w:r w:rsidRPr="00C25D7B">
        <w:rPr>
          <w:rFonts w:asciiTheme="majorBidi" w:hAnsiTheme="majorBidi" w:cstheme="majorBidi"/>
          <w:b/>
          <w:bCs/>
          <w:sz w:val="18"/>
          <w:szCs w:val="18"/>
        </w:rPr>
        <w:br/>
      </w:r>
      <w:r w:rsidRPr="00C25D7B">
        <w:rPr>
          <w:rFonts w:asciiTheme="majorBidi" w:hAnsiTheme="majorBidi" w:cstheme="majorBidi"/>
          <w:b/>
          <w:bCs/>
          <w:sz w:val="18"/>
          <w:szCs w:val="18"/>
          <w:rtl/>
        </w:rPr>
        <w:t>.عنوان المقال</w:t>
      </w:r>
      <w:r w:rsidRPr="00C25D7B">
        <w:rPr>
          <w:rFonts w:asciiTheme="majorBidi" w:hAnsiTheme="majorBidi" w:cstheme="majorBidi"/>
          <w:b/>
          <w:bCs/>
          <w:sz w:val="18"/>
          <w:szCs w:val="18"/>
        </w:rPr>
        <w:t>II</w:t>
      </w:r>
    </w:p>
    <w:p w:rsidR="00C25D7B" w:rsidRPr="00C25D7B" w:rsidRDefault="00C25D7B" w:rsidP="00C25D7B">
      <w:pPr>
        <w:pStyle w:val="a3"/>
        <w:bidi/>
        <w:jc w:val="lowKashida"/>
        <w:rPr>
          <w:rFonts w:asciiTheme="majorBidi" w:hAnsiTheme="majorBidi" w:cstheme="majorBidi"/>
          <w:b/>
          <w:bCs/>
          <w:sz w:val="18"/>
          <w:szCs w:val="18"/>
        </w:rPr>
      </w:pPr>
      <w:r w:rsidRPr="00C25D7B">
        <w:rPr>
          <w:rFonts w:asciiTheme="majorBidi" w:hAnsiTheme="majorBidi" w:cstheme="majorBidi"/>
          <w:b/>
          <w:bCs/>
          <w:sz w:val="18"/>
          <w:szCs w:val="18"/>
          <w:rtl/>
        </w:rPr>
        <w:t xml:space="preserve">تعرف الصحبة بأحد أمور خمسة: </w:t>
      </w:r>
    </w:p>
    <w:p w:rsidR="00C25D7B" w:rsidRPr="00C25D7B" w:rsidRDefault="00C25D7B" w:rsidP="00C25D7B">
      <w:pPr>
        <w:pStyle w:val="a3"/>
        <w:bidi/>
        <w:spacing w:before="0" w:beforeAutospacing="0" w:after="120" w:afterAutospacing="0"/>
        <w:jc w:val="lowKashida"/>
        <w:rPr>
          <w:rFonts w:asciiTheme="majorBidi" w:hAnsiTheme="majorBidi" w:cstheme="majorBidi"/>
          <w:b/>
          <w:bCs/>
          <w:sz w:val="18"/>
          <w:szCs w:val="18"/>
        </w:rPr>
      </w:pPr>
      <w:r w:rsidRPr="00C25D7B">
        <w:rPr>
          <w:rFonts w:asciiTheme="majorBidi" w:hAnsiTheme="majorBidi" w:cstheme="majorBidi"/>
          <w:b/>
          <w:bCs/>
          <w:sz w:val="18"/>
          <w:szCs w:val="18"/>
          <w:rtl/>
        </w:rPr>
        <w:t xml:space="preserve">- إما التواتر كصحبة العشرة المبشرين بالجنة: الخلفاء الأربعة، وسعد بن أبي وقاص، وسعيد بن زيد، وطلحة بن عبيد الله، والزبير بن العوام، وعبد الرحمن بن عوف، وأبو عبيدة بن الجراح، وكبار الصحابة المعروفين. </w:t>
      </w:r>
    </w:p>
    <w:p w:rsidR="00C25D7B" w:rsidRPr="00C25D7B" w:rsidRDefault="00C25D7B" w:rsidP="00C25D7B">
      <w:pPr>
        <w:pStyle w:val="a3"/>
        <w:bidi/>
        <w:spacing w:before="0" w:beforeAutospacing="0" w:after="120" w:afterAutospacing="0"/>
        <w:jc w:val="lowKashida"/>
        <w:rPr>
          <w:rFonts w:asciiTheme="majorBidi" w:hAnsiTheme="majorBidi" w:cstheme="majorBidi"/>
          <w:b/>
          <w:bCs/>
          <w:sz w:val="18"/>
          <w:szCs w:val="18"/>
        </w:rPr>
      </w:pPr>
      <w:r w:rsidRPr="00C25D7B">
        <w:rPr>
          <w:rFonts w:asciiTheme="majorBidi" w:hAnsiTheme="majorBidi" w:cstheme="majorBidi"/>
          <w:b/>
          <w:bCs/>
          <w:sz w:val="18"/>
          <w:szCs w:val="18"/>
          <w:rtl/>
        </w:rPr>
        <w:t xml:space="preserve">- وإما بالشهرة والاستفاضة التي لم تبلغ حد التواتر؛ كضمام بن ثعلبة، وعكاشة بن محصن. </w:t>
      </w:r>
    </w:p>
    <w:p w:rsidR="00C25D7B" w:rsidRPr="00C25D7B" w:rsidRDefault="00C25D7B" w:rsidP="00C25D7B">
      <w:pPr>
        <w:pStyle w:val="a3"/>
        <w:bidi/>
        <w:spacing w:before="0" w:beforeAutospacing="0" w:after="120" w:afterAutospacing="0"/>
        <w:jc w:val="lowKashida"/>
        <w:rPr>
          <w:rFonts w:asciiTheme="majorBidi" w:hAnsiTheme="majorBidi" w:cstheme="majorBidi"/>
          <w:b/>
          <w:bCs/>
          <w:sz w:val="18"/>
          <w:szCs w:val="18"/>
        </w:rPr>
      </w:pPr>
      <w:r w:rsidRPr="00C25D7B">
        <w:rPr>
          <w:rFonts w:asciiTheme="majorBidi" w:hAnsiTheme="majorBidi" w:cstheme="majorBidi"/>
          <w:b/>
          <w:bCs/>
          <w:sz w:val="18"/>
          <w:szCs w:val="18"/>
          <w:rtl/>
        </w:rPr>
        <w:t xml:space="preserve">- وإما بقول صحابي معروف الصحبة، أن فلانًا صحابي، مثل حمحمة الدوسي، شهد له أبو موسى الأشعري، فقال: "إن والله ما سمعنا فيما سمعنا من نبيكم  وما بلغ علمنا إلا أن حمحمة شهيد". </w:t>
      </w:r>
    </w:p>
    <w:p w:rsidR="00C25D7B" w:rsidRPr="00C25D7B" w:rsidRDefault="00C25D7B" w:rsidP="00C25D7B">
      <w:pPr>
        <w:pStyle w:val="a3"/>
        <w:bidi/>
        <w:spacing w:before="0" w:beforeAutospacing="0" w:after="120" w:afterAutospacing="0"/>
        <w:jc w:val="lowKashida"/>
        <w:rPr>
          <w:rFonts w:asciiTheme="majorBidi" w:hAnsiTheme="majorBidi" w:cstheme="majorBidi"/>
          <w:b/>
          <w:bCs/>
          <w:sz w:val="18"/>
          <w:szCs w:val="18"/>
        </w:rPr>
      </w:pPr>
      <w:r w:rsidRPr="00C25D7B">
        <w:rPr>
          <w:rFonts w:asciiTheme="majorBidi" w:hAnsiTheme="majorBidi" w:cstheme="majorBidi"/>
          <w:b/>
          <w:bCs/>
          <w:sz w:val="18"/>
          <w:szCs w:val="18"/>
          <w:rtl/>
        </w:rPr>
        <w:t>- وإما بأن يروى عن أحد التابعين: أن فلانًا له صحبة، بناء على قبول التزكية من واحد وهو الراجح.</w:t>
      </w:r>
    </w:p>
    <w:p w:rsidR="00C25D7B" w:rsidRPr="00C25D7B" w:rsidRDefault="00C25D7B" w:rsidP="00C25D7B">
      <w:pPr>
        <w:pStyle w:val="a3"/>
        <w:bidi/>
        <w:spacing w:before="0" w:beforeAutospacing="0" w:after="120" w:afterAutospacing="0"/>
        <w:jc w:val="lowKashida"/>
        <w:rPr>
          <w:rFonts w:asciiTheme="majorBidi" w:hAnsiTheme="majorBidi" w:cstheme="majorBidi"/>
          <w:b/>
          <w:bCs/>
          <w:sz w:val="18"/>
          <w:szCs w:val="18"/>
        </w:rPr>
      </w:pPr>
      <w:r w:rsidRPr="00C25D7B">
        <w:rPr>
          <w:rFonts w:asciiTheme="majorBidi" w:hAnsiTheme="majorBidi" w:cstheme="majorBidi"/>
          <w:b/>
          <w:bCs/>
          <w:sz w:val="18"/>
          <w:szCs w:val="18"/>
          <w:rtl/>
        </w:rPr>
        <w:t xml:space="preserve">- وإما أن يخبر عن نفسه أنه صحابي إذا كان معروفَ العدالة، وثابتَ المعاصرة للنبي. </w:t>
      </w:r>
    </w:p>
    <w:p w:rsidR="00C25D7B" w:rsidRPr="00C25D7B" w:rsidRDefault="00C25D7B" w:rsidP="00C25D7B">
      <w:pPr>
        <w:pStyle w:val="a3"/>
        <w:bidi/>
        <w:spacing w:before="0" w:beforeAutospacing="0" w:after="120" w:afterAutospacing="0"/>
        <w:jc w:val="lowKashida"/>
        <w:rPr>
          <w:rFonts w:asciiTheme="majorBidi" w:hAnsiTheme="majorBidi" w:cstheme="majorBidi"/>
          <w:b/>
          <w:bCs/>
          <w:sz w:val="18"/>
          <w:szCs w:val="18"/>
        </w:rPr>
      </w:pPr>
      <w:r w:rsidRPr="00C25D7B">
        <w:rPr>
          <w:rFonts w:asciiTheme="majorBidi" w:hAnsiTheme="majorBidi" w:cstheme="majorBidi"/>
          <w:b/>
          <w:bCs/>
          <w:sz w:val="18"/>
          <w:szCs w:val="18"/>
          <w:rtl/>
        </w:rPr>
        <w:t xml:space="preserve">قال السخاوي: وأما الشرط الثاني -وهو المعاصرة- فيعتبر بمضي مائة سنة وعشر سنين من هجرة النبي  لقوله  في آخر عمره لأصحابه: ((أرأيتكم ليلتكم هذه، فإن على رأس مائة سنة منها لا يبقَى على وجه الأرض ممن هو اليوم عليها أحد)). رواه البخاري ومسلم من حديث ابن عمر، ورواه مسلم من حديث جابر، أن ذلك كان قبل موته  بشهر، ولفظه: ((سمعت النبي  قبل أن يموت بشهر أقسم بالله: ما على الأرض من نفس منفوسة اليوم يأتي عليها مائة سنة وهي حية يومئذٍ)). </w:t>
      </w:r>
    </w:p>
    <w:p w:rsidR="00C25D7B" w:rsidRPr="00C25D7B" w:rsidRDefault="00C25D7B" w:rsidP="00C25D7B">
      <w:pPr>
        <w:pStyle w:val="a3"/>
        <w:bidi/>
        <w:spacing w:before="0" w:beforeAutospacing="0" w:after="120" w:afterAutospacing="0"/>
        <w:jc w:val="lowKashida"/>
        <w:rPr>
          <w:rFonts w:asciiTheme="majorBidi" w:hAnsiTheme="majorBidi" w:cstheme="majorBidi"/>
          <w:b/>
          <w:bCs/>
          <w:sz w:val="18"/>
          <w:szCs w:val="18"/>
          <w:rtl/>
        </w:rPr>
      </w:pPr>
      <w:r w:rsidRPr="00C25D7B">
        <w:rPr>
          <w:rFonts w:asciiTheme="majorBidi" w:hAnsiTheme="majorBidi" w:cstheme="majorBidi"/>
          <w:b/>
          <w:bCs/>
          <w:sz w:val="18"/>
          <w:szCs w:val="18"/>
          <w:rtl/>
        </w:rPr>
        <w:t xml:space="preserve">ولهذه النكتة لم يصدق الأئمة أحدًا ممن ادعى الصحبة بعد الغاية المذكورة -مائة وعشر سنوات- وقد ادعاه جماعة فكذبوا، وكان آخرهم رتن الهندي؛ لأن الظاهر كذبهم في دعواهم، وكان آخر الصحابة وفاةً على الإطلاق أبا الطفيل عامر بن واثلة الليثي، توفي سنة مائة وعشر سنين بمكة، وصدق رسول الله. </w:t>
      </w:r>
    </w:p>
    <w:p w:rsidR="00C25D7B" w:rsidRPr="00C25D7B" w:rsidRDefault="00C25D7B" w:rsidP="00C25D7B">
      <w:pPr>
        <w:pStyle w:val="a4"/>
        <w:spacing w:line="240" w:lineRule="auto"/>
        <w:ind w:left="373"/>
        <w:jc w:val="center"/>
        <w:rPr>
          <w:rFonts w:asciiTheme="majorBidi" w:hAnsiTheme="majorBidi" w:cstheme="majorBidi"/>
          <w:b/>
          <w:bCs/>
          <w:sz w:val="18"/>
          <w:szCs w:val="18"/>
          <w:rtl/>
        </w:rPr>
      </w:pPr>
      <w:r w:rsidRPr="00C25D7B">
        <w:rPr>
          <w:rFonts w:asciiTheme="majorBidi" w:hAnsiTheme="majorBidi" w:cstheme="majorBidi"/>
          <w:b/>
          <w:bCs/>
          <w:sz w:val="18"/>
          <w:szCs w:val="18"/>
          <w:rtl/>
        </w:rPr>
        <w:t>المراجع والمصادر</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(علم رجال الحديث) </w:t>
      </w:r>
    </w:p>
    <w:p w:rsidR="00C25D7B" w:rsidRPr="00C25D7B" w:rsidRDefault="00C25D7B" w:rsidP="00C25D7B">
      <w:pPr>
        <w:spacing w:after="120" w:line="240" w:lineRule="auto"/>
        <w:ind w:left="227" w:firstLine="283"/>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تقي الدين الندوي المظاهري، المدينة المنورة، مكتبة الإيمان، 1987م.</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rPr>
      </w:pPr>
      <w:r w:rsidRPr="00C25D7B">
        <w:rPr>
          <w:rFonts w:asciiTheme="majorBidi" w:hAnsiTheme="majorBidi" w:cstheme="majorBidi"/>
          <w:b/>
          <w:bCs/>
          <w:sz w:val="18"/>
          <w:szCs w:val="18"/>
          <w:rtl/>
          <w:lang w:bidi="ar-EG"/>
        </w:rPr>
        <w:lastRenderedPageBreak/>
        <w:t xml:space="preserve">(علم الرجال وأهميته) </w:t>
      </w:r>
    </w:p>
    <w:p w:rsidR="00C25D7B" w:rsidRPr="00C25D7B" w:rsidRDefault="00C25D7B" w:rsidP="00C25D7B">
      <w:pPr>
        <w:spacing w:after="120" w:line="240" w:lineRule="auto"/>
        <w:ind w:left="510"/>
        <w:jc w:val="lowKashida"/>
        <w:rPr>
          <w:rFonts w:asciiTheme="majorBidi" w:hAnsiTheme="majorBidi" w:cstheme="majorBidi"/>
          <w:b/>
          <w:bCs/>
          <w:sz w:val="18"/>
          <w:szCs w:val="18"/>
          <w:rtl/>
        </w:rPr>
      </w:pPr>
      <w:r w:rsidRPr="00C25D7B">
        <w:rPr>
          <w:rFonts w:asciiTheme="majorBidi" w:hAnsiTheme="majorBidi" w:cstheme="majorBidi"/>
          <w:b/>
          <w:bCs/>
          <w:sz w:val="18"/>
          <w:szCs w:val="18"/>
          <w:rtl/>
          <w:lang w:bidi="ar-EG"/>
        </w:rPr>
        <w:t>عبد الرحمن بن يحيى المعلمي اليماني, دار الراية للنشر والتوزيع, 1417هـ.</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(علم طبقات المحدثين: أهميته وفوائده) </w:t>
      </w:r>
    </w:p>
    <w:p w:rsidR="00C25D7B" w:rsidRPr="00C25D7B" w:rsidRDefault="00C25D7B" w:rsidP="00C25D7B">
      <w:pPr>
        <w:spacing w:after="120" w:line="240" w:lineRule="auto"/>
        <w:ind w:left="227" w:firstLine="283"/>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أسعد سالم يتم، مكتبة الرشد, 1994م.</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(تاريخ خليفة بن خياط) </w:t>
      </w:r>
    </w:p>
    <w:p w:rsidR="00C25D7B" w:rsidRPr="00C25D7B" w:rsidRDefault="00C25D7B" w:rsidP="00C25D7B">
      <w:pPr>
        <w:spacing w:after="120" w:line="240" w:lineRule="auto"/>
        <w:ind w:left="510"/>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(الطبقات) </w:t>
      </w:r>
    </w:p>
    <w:p w:rsidR="00C25D7B" w:rsidRPr="00C25D7B" w:rsidRDefault="00C25D7B" w:rsidP="00C25D7B">
      <w:pPr>
        <w:spacing w:after="120" w:line="240" w:lineRule="auto"/>
        <w:ind w:left="227" w:firstLine="283"/>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خليفة بن خياط الشيباني، الرياض، دار طيبة،1982م.</w:t>
      </w:r>
    </w:p>
    <w:p w:rsidR="00C25D7B" w:rsidRPr="00C25D7B" w:rsidRDefault="00C25D7B" w:rsidP="00C25D7B">
      <w:pPr>
        <w:numPr>
          <w:ilvl w:val="0"/>
          <w:numId w:val="1"/>
        </w:numPr>
        <w:spacing w:after="120" w:line="240" w:lineRule="auto"/>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(التاريخ الكبير) </w:t>
      </w:r>
    </w:p>
    <w:p w:rsidR="00C25D7B" w:rsidRPr="00C25D7B" w:rsidRDefault="00C25D7B" w:rsidP="00C25D7B">
      <w:pPr>
        <w:spacing w:after="120" w:line="240" w:lineRule="auto"/>
        <w:ind w:left="510"/>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عبد الله بن اسماعيل بن ابراهيم البخاري، بيروت، دار الكتب العلمية، 1884م.</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(الجرح والتعديل) </w:t>
      </w:r>
    </w:p>
    <w:p w:rsidR="00C25D7B" w:rsidRPr="00C25D7B" w:rsidRDefault="00C25D7B" w:rsidP="00C25D7B">
      <w:pPr>
        <w:spacing w:after="120" w:line="240" w:lineRule="auto"/>
        <w:ind w:left="510"/>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(مناهج المحدِّثين في</w:t>
      </w:r>
      <w:r w:rsidRPr="00C25D7B">
        <w:rPr>
          <w:rFonts w:asciiTheme="majorBidi" w:hAnsiTheme="majorBidi" w:cstheme="majorBidi"/>
          <w:b/>
          <w:bCs/>
          <w:sz w:val="18"/>
          <w:szCs w:val="18"/>
          <w:lang w:bidi="ar-EG"/>
        </w:rPr>
        <w:t xml:space="preserve"> </w:t>
      </w:r>
      <w:r w:rsidRPr="00C25D7B">
        <w:rPr>
          <w:rFonts w:asciiTheme="majorBidi" w:hAnsiTheme="majorBidi" w:cstheme="majorBidi"/>
          <w:b/>
          <w:bCs/>
          <w:sz w:val="18"/>
          <w:szCs w:val="18"/>
          <w:rtl/>
          <w:lang w:bidi="ar-EG"/>
        </w:rPr>
        <w:t xml:space="preserve">رواية الحديث بالمعنى) </w:t>
      </w:r>
    </w:p>
    <w:p w:rsidR="00C25D7B" w:rsidRPr="00C25D7B" w:rsidRDefault="00C25D7B" w:rsidP="00C25D7B">
      <w:pPr>
        <w:spacing w:after="120" w:line="240" w:lineRule="auto"/>
        <w:ind w:left="510"/>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عبد الرزاق بن خليفة الشايجي، بيروت، دار ابن حزم للطباعة والنشر، 1419هـ.</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(الضوء اللامع المبين عن مناهج المحدثين) </w:t>
      </w:r>
    </w:p>
    <w:p w:rsidR="00C25D7B" w:rsidRPr="00C25D7B" w:rsidRDefault="00C25D7B" w:rsidP="00C25D7B">
      <w:pPr>
        <w:spacing w:after="120" w:line="240" w:lineRule="auto"/>
        <w:ind w:left="227" w:firstLine="283"/>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أحمد محرم الشيخ ناجي, مطبعة الصفا والمروة, 2001م.</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(من روى عن أبيه عن جده) </w:t>
      </w:r>
    </w:p>
    <w:p w:rsidR="00C25D7B" w:rsidRPr="00C25D7B" w:rsidRDefault="00C25D7B" w:rsidP="00C25D7B">
      <w:pPr>
        <w:spacing w:after="120" w:line="240" w:lineRule="auto"/>
        <w:ind w:left="510"/>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(الرواة من الأخوة والأخوات) </w:t>
      </w:r>
    </w:p>
    <w:p w:rsidR="00C25D7B" w:rsidRPr="00C25D7B" w:rsidRDefault="00C25D7B" w:rsidP="00C25D7B">
      <w:pPr>
        <w:spacing w:after="120" w:line="240" w:lineRule="auto"/>
        <w:ind w:left="510"/>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(الكنى والأسماء) </w:t>
      </w:r>
    </w:p>
    <w:p w:rsidR="00C25D7B" w:rsidRPr="00C25D7B" w:rsidRDefault="00C25D7B" w:rsidP="00C25D7B">
      <w:pPr>
        <w:spacing w:after="120" w:line="240" w:lineRule="auto"/>
        <w:ind w:left="227" w:firstLine="283"/>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محمد بن أحمد الدولابي،حيدر آباد، دائرة المعارف النظامية، 1322هـ.</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(طبقات الحنابلة) </w:t>
      </w:r>
    </w:p>
    <w:p w:rsidR="00C25D7B" w:rsidRPr="00C25D7B" w:rsidRDefault="00C25D7B" w:rsidP="00C25D7B">
      <w:pPr>
        <w:spacing w:after="120" w:line="240" w:lineRule="auto"/>
        <w:ind w:left="510"/>
        <w:jc w:val="lowKashida"/>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محمد بن محمد بن الحسين البغدادي أبو يعلى</w:t>
      </w:r>
      <w:r w:rsidRPr="00C25D7B">
        <w:rPr>
          <w:rFonts w:asciiTheme="majorBidi" w:hAnsiTheme="majorBidi" w:cstheme="majorBidi"/>
          <w:b/>
          <w:bCs/>
          <w:sz w:val="18"/>
          <w:szCs w:val="18"/>
          <w:lang w:bidi="ar-EG"/>
        </w:rPr>
        <w:t xml:space="preserve"> </w:t>
      </w:r>
      <w:r w:rsidRPr="00C25D7B">
        <w:rPr>
          <w:rFonts w:asciiTheme="majorBidi" w:hAnsiTheme="majorBidi" w:cstheme="majorBidi"/>
          <w:b/>
          <w:bCs/>
          <w:sz w:val="18"/>
          <w:szCs w:val="18"/>
          <w:rtl/>
          <w:lang w:bidi="ar-EG"/>
        </w:rPr>
        <w:t>الحنبلي، مطبعة السّنة المحمدية، 1371هـ.</w:t>
      </w:r>
    </w:p>
    <w:p w:rsidR="00C25D7B" w:rsidRPr="00C25D7B" w:rsidRDefault="00C25D7B" w:rsidP="00C25D7B">
      <w:pPr>
        <w:numPr>
          <w:ilvl w:val="0"/>
          <w:numId w:val="1"/>
        </w:numPr>
        <w:spacing w:after="120" w:line="240" w:lineRule="auto"/>
        <w:jc w:val="lowKashida"/>
        <w:rPr>
          <w:rFonts w:asciiTheme="majorBidi" w:hAnsiTheme="majorBidi" w:cstheme="majorBidi"/>
          <w:b/>
          <w:bCs/>
          <w:sz w:val="18"/>
          <w:szCs w:val="18"/>
          <w:lang w:bidi="ar-EG"/>
        </w:rPr>
      </w:pPr>
      <w:r w:rsidRPr="00C25D7B">
        <w:rPr>
          <w:rFonts w:asciiTheme="majorBidi" w:hAnsiTheme="majorBidi" w:cstheme="majorBidi"/>
          <w:b/>
          <w:bCs/>
          <w:sz w:val="18"/>
          <w:szCs w:val="18"/>
          <w:rtl/>
          <w:lang w:bidi="ar-EG"/>
        </w:rPr>
        <w:t xml:space="preserve">(الطبقات الكبرى) </w:t>
      </w:r>
    </w:p>
    <w:p w:rsidR="00C25D7B" w:rsidRPr="00C25D7B" w:rsidRDefault="00C25D7B" w:rsidP="00C25D7B">
      <w:pPr>
        <w:pStyle w:val="a4"/>
        <w:spacing w:line="240" w:lineRule="auto"/>
        <w:ind w:left="373" w:firstLine="193"/>
        <w:rPr>
          <w:rFonts w:asciiTheme="majorBidi" w:hAnsiTheme="majorBidi" w:cstheme="majorBidi"/>
          <w:b/>
          <w:bCs/>
          <w:sz w:val="18"/>
          <w:szCs w:val="18"/>
          <w:rtl/>
          <w:lang w:bidi="ar-EG"/>
        </w:rPr>
      </w:pPr>
      <w:r w:rsidRPr="00C25D7B">
        <w:rPr>
          <w:rFonts w:asciiTheme="majorBidi" w:hAnsiTheme="majorBidi" w:cstheme="majorBidi"/>
          <w:b/>
          <w:bCs/>
          <w:sz w:val="18"/>
          <w:szCs w:val="18"/>
          <w:rtl/>
          <w:lang w:bidi="ar-EG"/>
        </w:rPr>
        <w:t>ابن سعد محمد بن سعد، تحقيق: إحسان عباس، دار بيروت للطباعة والنشر، 1405هـ.</w:t>
      </w:r>
    </w:p>
    <w:p w:rsidR="00C25D7B" w:rsidRDefault="00C25D7B" w:rsidP="00C25D7B">
      <w:pPr>
        <w:rPr>
          <w:rtl/>
          <w:lang w:bidi="ar-EG"/>
        </w:rPr>
        <w:sectPr w:rsidR="00C25D7B" w:rsidSect="00C25D7B">
          <w:type w:val="continuous"/>
          <w:pgSz w:w="11906" w:h="16838"/>
          <w:pgMar w:top="1440" w:right="1440" w:bottom="1440" w:left="1440" w:header="720" w:footer="720" w:gutter="0"/>
          <w:cols w:num="2" w:space="720"/>
          <w:bidi/>
          <w:rtlGutter/>
          <w:docGrid w:linePitch="360"/>
        </w:sectPr>
      </w:pPr>
    </w:p>
    <w:p w:rsidR="00C25D7B" w:rsidRDefault="00C25D7B" w:rsidP="00C25D7B">
      <w:pPr>
        <w:rPr>
          <w:lang w:bidi="ar-EG"/>
        </w:rPr>
      </w:pPr>
    </w:p>
    <w:sectPr w:rsidR="00C25D7B" w:rsidSect="00C25D7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5D7B"/>
    <w:rsid w:val="00752D19"/>
    <w:rsid w:val="007E639D"/>
    <w:rsid w:val="00A8628C"/>
    <w:rsid w:val="00C25D7B"/>
    <w:rsid w:val="00ED5C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C25D7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25D7B"/>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C25D7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5D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2013-06-13T18:08:00Z</dcterms:created>
  <dcterms:modified xsi:type="dcterms:W3CDTF">2013-06-16T11:57:00Z</dcterms:modified>
</cp:coreProperties>
</file>