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E11" w:rsidRPr="00CC3F0B" w:rsidRDefault="00C53BBD" w:rsidP="00C53BBD">
      <w:pPr>
        <w:jc w:val="center"/>
        <w:rPr>
          <w:sz w:val="48"/>
          <w:szCs w:val="48"/>
          <w:rtl/>
        </w:rPr>
      </w:pPr>
      <w:r w:rsidRPr="00CC3F0B">
        <w:rPr>
          <w:rFonts w:ascii="Calibri" w:eastAsia="Calibri" w:hAnsi="Calibri" w:cs="AGA Rasheeq Bold" w:hint="cs"/>
          <w:sz w:val="48"/>
          <w:szCs w:val="48"/>
          <w:rtl/>
        </w:rPr>
        <w:t>طريقة العلماء في وضع كتب الرجال</w:t>
      </w:r>
    </w:p>
    <w:p w:rsidR="00C53BBD" w:rsidRPr="00BB1330" w:rsidRDefault="00C53BBD" w:rsidP="00C53BBD">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C53BBD" w:rsidRDefault="00C53BBD" w:rsidP="00006C14">
      <w:pPr>
        <w:pStyle w:val="Author"/>
        <w:bidi/>
        <w:rPr>
          <w:rFonts w:eastAsia="Times New Roman"/>
          <w:lang w:bidi="ar-EG"/>
        </w:rPr>
      </w:pPr>
      <w:r>
        <w:rPr>
          <w:rFonts w:hint="cs"/>
          <w:i/>
          <w:iCs/>
          <w:rtl/>
        </w:rPr>
        <w:t xml:space="preserve">إعداد / </w:t>
      </w:r>
      <w:r w:rsidR="00006C14" w:rsidRPr="00006C14">
        <w:rPr>
          <w:i/>
          <w:iCs/>
          <w:rtl/>
          <w:lang w:bidi="ar-EG"/>
        </w:rPr>
        <w:t xml:space="preserve">شيماء عبد المجيد محمد </w:t>
      </w:r>
      <w:proofErr w:type="spellStart"/>
      <w:r w:rsidR="00006C14" w:rsidRPr="00006C14">
        <w:rPr>
          <w:i/>
          <w:iCs/>
          <w:rtl/>
          <w:lang w:bidi="ar-EG"/>
        </w:rPr>
        <w:t>زهران</w:t>
      </w:r>
      <w:proofErr w:type="spellEnd"/>
    </w:p>
    <w:p w:rsidR="00C53BBD" w:rsidRDefault="00C53BBD" w:rsidP="00C53BBD">
      <w:pPr>
        <w:pStyle w:val="Affiliation"/>
        <w:bidi/>
        <w:rPr>
          <w:rFonts w:eastAsia="Times New Roman"/>
        </w:rPr>
      </w:pPr>
      <w:r>
        <w:rPr>
          <w:rFonts w:hint="cs"/>
          <w:i/>
          <w:iCs/>
          <w:rtl/>
        </w:rPr>
        <w:t>قسم الدعوة وأصول الدين</w:t>
      </w:r>
    </w:p>
    <w:p w:rsidR="00C53BBD" w:rsidRDefault="00C53BBD" w:rsidP="00C53BBD">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C53BBD" w:rsidRDefault="00C53BBD" w:rsidP="00C53BBD">
      <w:pPr>
        <w:pStyle w:val="Affiliation"/>
        <w:bidi/>
        <w:rPr>
          <w:rtl/>
        </w:rPr>
      </w:pPr>
      <w:r>
        <w:rPr>
          <w:rFonts w:hint="cs"/>
          <w:rtl/>
        </w:rPr>
        <w:t>شاه علم - ماليزيا</w:t>
      </w:r>
    </w:p>
    <w:p w:rsidR="00C53BBD" w:rsidRDefault="00006C14" w:rsidP="00C53BBD">
      <w:pPr>
        <w:spacing w:line="240" w:lineRule="auto"/>
        <w:jc w:val="center"/>
        <w:rPr>
          <w:rFonts w:asciiTheme="majorBidi" w:hAnsiTheme="majorBidi" w:cstheme="majorBidi"/>
          <w:b/>
          <w:bCs/>
          <w:sz w:val="18"/>
          <w:szCs w:val="18"/>
          <w:rtl/>
          <w:lang w:bidi="ar-EG"/>
        </w:rPr>
      </w:pPr>
      <w:r w:rsidRPr="00006C14">
        <w:rPr>
          <w:rFonts w:ascii="Times New Roman" w:eastAsia="SimSun" w:hAnsi="Times New Roman" w:cs="Times New Roman"/>
          <w:i/>
          <w:iCs/>
          <w:sz w:val="20"/>
          <w:szCs w:val="20"/>
          <w:lang w:eastAsia="zh-CN" w:bidi="ar-EG"/>
        </w:rPr>
        <w:t>shaimaa.abdelmajeed@mediu.ws</w:t>
      </w:r>
    </w:p>
    <w:p w:rsidR="00CC3F0B" w:rsidRDefault="00CC3F0B" w:rsidP="00CC3F0B">
      <w:pPr>
        <w:pStyle w:val="a3"/>
        <w:jc w:val="right"/>
        <w:rPr>
          <w:rFonts w:asciiTheme="majorBidi" w:hAnsiTheme="majorBidi" w:cstheme="majorBidi"/>
          <w:b/>
          <w:bCs/>
          <w:sz w:val="18"/>
          <w:szCs w:val="18"/>
          <w:rtl/>
        </w:rPr>
        <w:sectPr w:rsidR="00CC3F0B" w:rsidSect="007E639D">
          <w:pgSz w:w="11906" w:h="16838"/>
          <w:pgMar w:top="1440" w:right="1440" w:bottom="1440" w:left="1440" w:header="720" w:footer="720" w:gutter="0"/>
          <w:cols w:space="720"/>
          <w:bidi/>
          <w:rtlGutter/>
          <w:docGrid w:linePitch="360"/>
        </w:sectPr>
      </w:pPr>
    </w:p>
    <w:p w:rsidR="00C53BBD" w:rsidRPr="00CC3F0B" w:rsidRDefault="00C53BBD" w:rsidP="00CC3F0B">
      <w:pPr>
        <w:pStyle w:val="a3"/>
        <w:jc w:val="right"/>
        <w:rPr>
          <w:rFonts w:asciiTheme="majorBidi" w:hAnsiTheme="majorBidi" w:cstheme="majorBidi"/>
          <w:b/>
          <w:bCs/>
          <w:sz w:val="18"/>
          <w:szCs w:val="18"/>
          <w:rtl/>
        </w:rPr>
      </w:pPr>
      <w:r w:rsidRPr="00CC3F0B">
        <w:rPr>
          <w:rFonts w:asciiTheme="majorBidi" w:hAnsiTheme="majorBidi" w:cstheme="majorBidi"/>
          <w:b/>
          <w:bCs/>
          <w:sz w:val="18"/>
          <w:szCs w:val="18"/>
          <w:rtl/>
        </w:rPr>
        <w:lastRenderedPageBreak/>
        <w:t xml:space="preserve">الخلاصة – هذا البحث يبحث فى </w:t>
      </w:r>
      <w:r w:rsidR="00CC3F0B">
        <w:rPr>
          <w:rFonts w:asciiTheme="majorBidi" w:hAnsiTheme="majorBidi" w:cstheme="majorBidi" w:hint="cs"/>
          <w:b/>
          <w:bCs/>
          <w:sz w:val="18"/>
          <w:szCs w:val="18"/>
          <w:rtl/>
        </w:rPr>
        <w:t>طريقة العلماء فى وضع كتب الرجال</w:t>
      </w:r>
      <w:r w:rsidRPr="00CC3F0B">
        <w:rPr>
          <w:rFonts w:asciiTheme="majorBidi" w:hAnsiTheme="majorBidi" w:cstheme="majorBidi"/>
          <w:b/>
          <w:bCs/>
          <w:sz w:val="18"/>
          <w:szCs w:val="18"/>
        </w:rPr>
        <w:br/>
      </w:r>
      <w:r w:rsidRPr="00CC3F0B">
        <w:rPr>
          <w:rFonts w:asciiTheme="majorBidi" w:hAnsiTheme="majorBidi" w:cstheme="majorBidi"/>
          <w:b/>
          <w:bCs/>
          <w:sz w:val="18"/>
          <w:szCs w:val="18"/>
          <w:rtl/>
        </w:rPr>
        <w:t xml:space="preserve">الكلمات المفتاحية – </w:t>
      </w:r>
      <w:r w:rsidR="00CC3F0B">
        <w:rPr>
          <w:rFonts w:asciiTheme="majorBidi" w:hAnsiTheme="majorBidi" w:cstheme="majorBidi" w:hint="cs"/>
          <w:b/>
          <w:bCs/>
          <w:sz w:val="18"/>
          <w:szCs w:val="18"/>
          <w:rtl/>
        </w:rPr>
        <w:t>أجودها</w:t>
      </w:r>
      <w:r w:rsidR="00CC3F0B">
        <w:rPr>
          <w:rFonts w:asciiTheme="majorBidi" w:hAnsiTheme="majorBidi" w:cstheme="majorBidi"/>
          <w:b/>
          <w:bCs/>
          <w:sz w:val="18"/>
          <w:szCs w:val="18"/>
          <w:rtl/>
        </w:rPr>
        <w:t xml:space="preserve">، </w:t>
      </w:r>
      <w:r w:rsidR="00CC3F0B">
        <w:rPr>
          <w:rFonts w:asciiTheme="majorBidi" w:hAnsiTheme="majorBidi" w:cstheme="majorBidi" w:hint="cs"/>
          <w:b/>
          <w:bCs/>
          <w:sz w:val="18"/>
          <w:szCs w:val="18"/>
          <w:rtl/>
        </w:rPr>
        <w:t>الكتب</w:t>
      </w:r>
      <w:r w:rsidR="00CC3F0B">
        <w:rPr>
          <w:rFonts w:asciiTheme="majorBidi" w:hAnsiTheme="majorBidi" w:cstheme="majorBidi"/>
          <w:b/>
          <w:bCs/>
          <w:sz w:val="18"/>
          <w:szCs w:val="18"/>
          <w:rtl/>
        </w:rPr>
        <w:t xml:space="preserve"> ، ا</w:t>
      </w:r>
      <w:r w:rsidR="00CC3F0B">
        <w:rPr>
          <w:rFonts w:asciiTheme="majorBidi" w:hAnsiTheme="majorBidi" w:cstheme="majorBidi" w:hint="cs"/>
          <w:b/>
          <w:bCs/>
          <w:sz w:val="18"/>
          <w:szCs w:val="18"/>
          <w:rtl/>
        </w:rPr>
        <w:t>لتهذيب</w:t>
      </w:r>
      <w:r w:rsidRPr="00CC3F0B">
        <w:rPr>
          <w:rFonts w:asciiTheme="majorBidi" w:hAnsiTheme="majorBidi" w:cstheme="majorBidi"/>
          <w:b/>
          <w:bCs/>
          <w:sz w:val="18"/>
          <w:szCs w:val="18"/>
          <w:rtl/>
        </w:rPr>
        <w:t xml:space="preserve"> </w:t>
      </w:r>
    </w:p>
    <w:p w:rsidR="00C53BBD" w:rsidRPr="00CC3F0B" w:rsidRDefault="00C53BBD" w:rsidP="00CC3F0B">
      <w:pPr>
        <w:pStyle w:val="a3"/>
        <w:jc w:val="center"/>
        <w:rPr>
          <w:rFonts w:asciiTheme="majorBidi" w:hAnsiTheme="majorBidi" w:cstheme="majorBidi"/>
          <w:b/>
          <w:bCs/>
          <w:sz w:val="18"/>
          <w:szCs w:val="18"/>
          <w:lang w:bidi="ar-EG"/>
        </w:rPr>
      </w:pPr>
      <w:r w:rsidRPr="00CC3F0B">
        <w:rPr>
          <w:rFonts w:asciiTheme="majorBidi" w:hAnsiTheme="majorBidi" w:cstheme="majorBidi"/>
          <w:b/>
          <w:bCs/>
          <w:sz w:val="18"/>
          <w:szCs w:val="18"/>
          <w:rtl/>
        </w:rPr>
        <w:t>المقدمة</w:t>
      </w:r>
      <w:r w:rsidRPr="00CC3F0B">
        <w:rPr>
          <w:rFonts w:asciiTheme="majorBidi" w:hAnsiTheme="majorBidi" w:cstheme="majorBidi"/>
          <w:b/>
          <w:bCs/>
          <w:sz w:val="18"/>
          <w:szCs w:val="18"/>
          <w:lang w:bidi="ar-EG"/>
        </w:rPr>
        <w:t>.I</w:t>
      </w:r>
    </w:p>
    <w:p w:rsidR="00C53BBD" w:rsidRPr="00CC3F0B" w:rsidRDefault="00C53BBD" w:rsidP="00CC3F0B">
      <w:pPr>
        <w:pStyle w:val="a3"/>
        <w:jc w:val="right"/>
        <w:rPr>
          <w:rFonts w:asciiTheme="majorBidi" w:hAnsiTheme="majorBidi" w:cstheme="majorBidi"/>
          <w:b/>
          <w:bCs/>
          <w:sz w:val="18"/>
          <w:szCs w:val="18"/>
          <w:rtl/>
        </w:rPr>
      </w:pPr>
      <w:r w:rsidRPr="00CC3F0B">
        <w:rPr>
          <w:rFonts w:asciiTheme="majorBidi" w:hAnsiTheme="majorBidi" w:cstheme="majorBidi"/>
          <w:b/>
          <w:bCs/>
          <w:sz w:val="18"/>
          <w:szCs w:val="18"/>
        </w:rPr>
        <w:br/>
      </w:r>
      <w:r w:rsidRPr="00CC3F0B">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CC3F0B">
        <w:rPr>
          <w:rFonts w:asciiTheme="majorBidi" w:hAnsiTheme="majorBidi" w:cstheme="majorBidi" w:hint="cs"/>
          <w:b/>
          <w:bCs/>
          <w:sz w:val="18"/>
          <w:szCs w:val="18"/>
          <w:rtl/>
        </w:rPr>
        <w:t>طريقة العلماء فى وضع كتب الرجال</w:t>
      </w:r>
    </w:p>
    <w:p w:rsidR="00C53BBD" w:rsidRPr="00CC3F0B" w:rsidRDefault="00C53BBD" w:rsidP="00CC3F0B">
      <w:pPr>
        <w:pStyle w:val="a3"/>
        <w:jc w:val="center"/>
        <w:rPr>
          <w:rFonts w:asciiTheme="majorBidi" w:hAnsiTheme="majorBidi" w:cstheme="majorBidi"/>
          <w:b/>
          <w:bCs/>
          <w:sz w:val="18"/>
          <w:szCs w:val="18"/>
        </w:rPr>
      </w:pPr>
      <w:r w:rsidRPr="00CC3F0B">
        <w:rPr>
          <w:rFonts w:asciiTheme="majorBidi" w:hAnsiTheme="majorBidi" w:cstheme="majorBidi"/>
          <w:b/>
          <w:bCs/>
          <w:sz w:val="18"/>
          <w:szCs w:val="18"/>
        </w:rPr>
        <w:br/>
      </w:r>
      <w:r w:rsidRPr="00CC3F0B">
        <w:rPr>
          <w:rFonts w:asciiTheme="majorBidi" w:hAnsiTheme="majorBidi" w:cstheme="majorBidi"/>
          <w:b/>
          <w:bCs/>
          <w:sz w:val="18"/>
          <w:szCs w:val="18"/>
          <w:rtl/>
        </w:rPr>
        <w:t>.عنوان المقال</w:t>
      </w:r>
      <w:r w:rsidRPr="00CC3F0B">
        <w:rPr>
          <w:rFonts w:asciiTheme="majorBidi" w:hAnsiTheme="majorBidi" w:cstheme="majorBidi"/>
          <w:b/>
          <w:bCs/>
          <w:sz w:val="18"/>
          <w:szCs w:val="18"/>
        </w:rPr>
        <w:t>II</w:t>
      </w:r>
    </w:p>
    <w:p w:rsidR="00C53BBD" w:rsidRPr="00CC3F0B" w:rsidRDefault="00C53BBD" w:rsidP="00CC3F0B">
      <w:pPr>
        <w:pStyle w:val="a3"/>
        <w:bidi/>
        <w:spacing w:before="0" w:beforeAutospacing="0" w:after="120" w:afterAutospacing="0"/>
        <w:jc w:val="lowKashida"/>
        <w:rPr>
          <w:rFonts w:asciiTheme="majorBidi" w:hAnsiTheme="majorBidi" w:cstheme="majorBidi"/>
          <w:b/>
          <w:bCs/>
          <w:sz w:val="18"/>
          <w:szCs w:val="18"/>
        </w:rPr>
      </w:pPr>
      <w:r w:rsidRPr="00CC3F0B">
        <w:rPr>
          <w:rFonts w:asciiTheme="majorBidi" w:hAnsiTheme="majorBidi" w:cstheme="majorBidi"/>
          <w:b/>
          <w:bCs/>
          <w:sz w:val="18"/>
          <w:szCs w:val="18"/>
          <w:rtl/>
        </w:rPr>
        <w:t xml:space="preserve">كيف وضع العلماء في مؤلفاتهم تراجم الرواة؟ وما الذي عنوه فيها؟ </w:t>
      </w:r>
    </w:p>
    <w:p w:rsidR="00C53BBD" w:rsidRPr="00CC3F0B" w:rsidRDefault="00C53BBD" w:rsidP="00CC3F0B">
      <w:pPr>
        <w:pStyle w:val="a3"/>
        <w:bidi/>
        <w:spacing w:before="0" w:beforeAutospacing="0" w:after="120" w:afterAutospacing="0"/>
        <w:jc w:val="lowKashida"/>
        <w:rPr>
          <w:rFonts w:asciiTheme="majorBidi" w:hAnsiTheme="majorBidi" w:cstheme="majorBidi"/>
          <w:b/>
          <w:bCs/>
          <w:sz w:val="18"/>
          <w:szCs w:val="18"/>
        </w:rPr>
      </w:pPr>
      <w:r w:rsidRPr="00CC3F0B">
        <w:rPr>
          <w:rFonts w:asciiTheme="majorBidi" w:hAnsiTheme="majorBidi" w:cstheme="majorBidi"/>
          <w:b/>
          <w:bCs/>
          <w:sz w:val="18"/>
          <w:szCs w:val="18"/>
          <w:rtl/>
        </w:rPr>
        <w:t xml:space="preserve">أما ترتيب التراجم فهو معروف، وأجودها طريقة (تهذيب الكمال) وفروعه ونعني بفروعه: الكتب التي هذبته كـ(تهذيب التهذيب) لابن حجر، أو قربته كـ(تقريب التهذيب) أو لخصته كـ(خلاصة الخزرجي) وغيره. </w:t>
      </w:r>
    </w:p>
    <w:p w:rsidR="00C53BBD" w:rsidRPr="00CC3F0B" w:rsidRDefault="00C53BBD" w:rsidP="00CC3F0B">
      <w:pPr>
        <w:pStyle w:val="a3"/>
        <w:bidi/>
        <w:spacing w:before="0" w:beforeAutospacing="0" w:after="120" w:afterAutospacing="0"/>
        <w:jc w:val="lowKashida"/>
        <w:rPr>
          <w:rFonts w:asciiTheme="majorBidi" w:hAnsiTheme="majorBidi" w:cstheme="majorBidi"/>
          <w:b/>
          <w:bCs/>
          <w:sz w:val="18"/>
          <w:szCs w:val="18"/>
        </w:rPr>
      </w:pPr>
      <w:r w:rsidRPr="00CC3F0B">
        <w:rPr>
          <w:rFonts w:asciiTheme="majorBidi" w:hAnsiTheme="majorBidi" w:cstheme="majorBidi"/>
          <w:b/>
          <w:bCs/>
          <w:sz w:val="18"/>
          <w:szCs w:val="18"/>
          <w:rtl/>
        </w:rPr>
        <w:t xml:space="preserve">والترتيب في هذه الكتب -كتب الرواة- على ترتيب حروف الهجاء، باعتبار اسم الراوي بجميع حروفه، وكذا باعتبار اسم أبيه وجده فصاعدًا، مثاله: إبراهيم بن محمد بن عبد الله بن جحش، وبعده إبراهيم بن محمد بن عبد الله بن عبيد الله، فلما كان الاسم الثاني يتفق مع الأول في إبراهيم وفي ابن محمد وفي ابن عبد الله، ولكن في الاسم الرابع جحش في الأول وعبيد الله، والجيم مقدمة على العين، ولذلك قدم إبراهيم بنَ محمد بن عبد الله بن جحش على إبراهيم بن محمد بن عبد الله بن عبيد الله. </w:t>
      </w:r>
    </w:p>
    <w:p w:rsidR="00C53BBD" w:rsidRPr="00CC3F0B" w:rsidRDefault="00C53BBD" w:rsidP="00CC3F0B">
      <w:pPr>
        <w:pStyle w:val="a3"/>
        <w:bidi/>
        <w:spacing w:before="0" w:beforeAutospacing="0" w:after="120" w:afterAutospacing="0"/>
        <w:jc w:val="lowKashida"/>
        <w:rPr>
          <w:rFonts w:asciiTheme="majorBidi" w:hAnsiTheme="majorBidi" w:cstheme="majorBidi"/>
          <w:b/>
          <w:bCs/>
          <w:sz w:val="18"/>
          <w:szCs w:val="18"/>
        </w:rPr>
      </w:pPr>
      <w:r w:rsidRPr="00CC3F0B">
        <w:rPr>
          <w:rFonts w:asciiTheme="majorBidi" w:hAnsiTheme="majorBidi" w:cstheme="majorBidi"/>
          <w:b/>
          <w:bCs/>
          <w:sz w:val="18"/>
          <w:szCs w:val="18"/>
          <w:rtl/>
        </w:rPr>
        <w:t xml:space="preserve">وكذلك يرتب باعتبار النسب، مثاله: إبراهيم بن ميمون الصنعاني، وإبراهيم بن ميمون الكوفي، وإبراهيم بن ميمون النحاس، فنسب الأول يبدأ بحرف الصاد، ونسب الثاني بحرف الكاف بعد حذف الألف واللام التي لا يكون لها اعتبار في الترتيب، والنون في الاسم الثالث، إبراهيم بن ميمون النحاس، يبدأ بحرف النون، طبعًا الصاد مقدمة على الكاف، والكاف مقدمة على النون، ولذلك رتبهم على هذا النحو: إبراهيم بن ميمون الصنعاني، ثم إبراهيم بن ميمون الكوفي، ثم إبراهيم بن ميمون النحاس، والترتيب مفيد جدًّا في كتب الرواة، فإنه يسهل الكشف على الراوي، ولكن ثَمّ فائدة أعظم منها، وهي التنبيه على ما قد يقع من سقط، أو زيادة، أو تصحيف، أو تحريف. </w:t>
      </w:r>
    </w:p>
    <w:p w:rsidR="00C53BBD" w:rsidRPr="00CC3F0B" w:rsidRDefault="00C53BBD" w:rsidP="00CC3F0B">
      <w:pPr>
        <w:pStyle w:val="a3"/>
        <w:bidi/>
        <w:spacing w:before="0" w:beforeAutospacing="0" w:after="120" w:afterAutospacing="0"/>
        <w:jc w:val="lowKashida"/>
        <w:rPr>
          <w:rFonts w:asciiTheme="majorBidi" w:hAnsiTheme="majorBidi" w:cstheme="majorBidi"/>
          <w:b/>
          <w:bCs/>
          <w:sz w:val="18"/>
          <w:szCs w:val="18"/>
        </w:rPr>
      </w:pPr>
      <w:r w:rsidRPr="00CC3F0B">
        <w:rPr>
          <w:rFonts w:asciiTheme="majorBidi" w:hAnsiTheme="majorBidi" w:cstheme="majorBidi"/>
          <w:b/>
          <w:bCs/>
          <w:sz w:val="18"/>
          <w:szCs w:val="18"/>
          <w:rtl/>
        </w:rPr>
        <w:t xml:space="preserve">مثال السقط: ما وقع في (التقريب) المطبوع بدهلي سنة ألف وثلاثمائة وعشرين، ذكر في المحمدين تراجم من اسمه محمد بن إبراهيم، ثم ذكر بعدها محمد بن كعب، ثم محمد بن أحمد، يعني: الترتيب هنا في اسم الأب غير موجود؛ لأن الأب في الأول إبراهيم يبدأ بحرف الألف، ولكنه في الثاني يبدأ بحرف الكاف، ولكنه في الثالث يبدأ بحرف الألف، مرة أخرى مع الحاء، فهذا شيء مخالف للترتيب الطبيعي، فكيف يكون كعب بين إبراهيم وأحمد، والدُ الأول إبراهيم، ووالد الثالث أحمد؟ والصواب كما في (تهذيب التهذيب) وغيره: محمد بن أُبي بن كعب، الذي هو ذكر محمد بن كعب الأنصاري، وهذا خطأ، ولكن الصواب محمد بن أبي بن كعب، سقطت كلمة ابن أُبي، وهذا جعل الترتيب فيه خلل، ولكنه على الصحيح ليس فيه خلل، فهو بدأ بإبراهيم، ثم بأُبي، ثم بأحمد، وهذا ترتيب طبيعي: الألف مع الباء، مع الراء، والألف مع الباء مع الياء، والألف مع الحاء. </w:t>
      </w:r>
    </w:p>
    <w:p w:rsidR="00C53BBD" w:rsidRPr="00CC3F0B" w:rsidRDefault="00C53BBD" w:rsidP="00CC3F0B">
      <w:pPr>
        <w:pStyle w:val="a3"/>
        <w:bidi/>
        <w:spacing w:before="0" w:beforeAutospacing="0" w:after="120" w:afterAutospacing="0"/>
        <w:jc w:val="lowKashida"/>
        <w:rPr>
          <w:rFonts w:asciiTheme="majorBidi" w:hAnsiTheme="majorBidi" w:cstheme="majorBidi"/>
          <w:b/>
          <w:bCs/>
          <w:sz w:val="18"/>
          <w:szCs w:val="18"/>
        </w:rPr>
      </w:pPr>
      <w:r w:rsidRPr="00CC3F0B">
        <w:rPr>
          <w:rFonts w:asciiTheme="majorBidi" w:hAnsiTheme="majorBidi" w:cstheme="majorBidi"/>
          <w:b/>
          <w:bCs/>
          <w:sz w:val="18"/>
          <w:szCs w:val="18"/>
          <w:rtl/>
        </w:rPr>
        <w:t xml:space="preserve">ولولا أننا نعتاد على الترتيب الطبيعي لحروف الهجاء أو حروف (المعجم)، ما كنا قد أدركنا هذا الخطأ. </w:t>
      </w:r>
    </w:p>
    <w:p w:rsidR="00C53BBD" w:rsidRPr="00CC3F0B" w:rsidRDefault="00C53BBD" w:rsidP="00CC3F0B">
      <w:pPr>
        <w:pStyle w:val="a3"/>
        <w:bidi/>
        <w:spacing w:before="0" w:beforeAutospacing="0" w:after="120" w:afterAutospacing="0"/>
        <w:jc w:val="lowKashida"/>
        <w:rPr>
          <w:rFonts w:asciiTheme="majorBidi" w:hAnsiTheme="majorBidi" w:cstheme="majorBidi"/>
          <w:b/>
          <w:bCs/>
          <w:sz w:val="18"/>
          <w:szCs w:val="18"/>
        </w:rPr>
      </w:pPr>
      <w:r w:rsidRPr="00CC3F0B">
        <w:rPr>
          <w:rFonts w:asciiTheme="majorBidi" w:hAnsiTheme="majorBidi" w:cstheme="majorBidi"/>
          <w:b/>
          <w:bCs/>
          <w:sz w:val="18"/>
          <w:szCs w:val="18"/>
          <w:rtl/>
        </w:rPr>
        <w:lastRenderedPageBreak/>
        <w:t xml:space="preserve">ومثال الزيادة: ما وقع في (الميزان) المطبوع بمصر، ذُكر في آخر تراجم البكريين بكر بن يونس، ثم بكر بن الأعنق، فهنا الترتيب غير طبيعي؛ لأن ابن الأعنق يبدأ أبوه بحرف الألف، بينما بكر بن يونس يبدأ أبوه بحرف الياء، كان الأولى إذا كان الترتيب صحيحًا أن يكون الأعنق قبل يونس، لكن هذا فيه خطأ، والصواب بكر الأعنق كما في (لسان الميزان) وكما سنرى أن الأفراد تكون بعد من لهم الاسم واسم أبيهم، فهذه تؤخر، فبعد أن انتهى من الحروف -وهي الياء- يبدأ بالأسماء التي ليس لها آباء، فالأعنق هذه لقب فذكرها، ولكن ذكر ابنًا، مما جعل هذا اللبس، ومن عادتهم -كما قلنا-: أن مَن عُرف باسمه ولقبه فقط أن يذكروه آخر الأسماء الموافقة لاسمه بعد أن ينتهوا من حرف الياء. </w:t>
      </w:r>
    </w:p>
    <w:p w:rsidR="00C53BBD" w:rsidRPr="00CC3F0B" w:rsidRDefault="00C53BBD" w:rsidP="00CC3F0B">
      <w:pPr>
        <w:pStyle w:val="a3"/>
        <w:bidi/>
        <w:spacing w:before="0" w:beforeAutospacing="0" w:after="120" w:afterAutospacing="0"/>
        <w:jc w:val="lowKashida"/>
        <w:rPr>
          <w:rFonts w:asciiTheme="majorBidi" w:hAnsiTheme="majorBidi" w:cstheme="majorBidi"/>
          <w:b/>
          <w:bCs/>
          <w:sz w:val="18"/>
          <w:szCs w:val="18"/>
        </w:rPr>
      </w:pPr>
      <w:r w:rsidRPr="00CC3F0B">
        <w:rPr>
          <w:rFonts w:asciiTheme="majorBidi" w:hAnsiTheme="majorBidi" w:cstheme="majorBidi"/>
          <w:b/>
          <w:bCs/>
          <w:sz w:val="18"/>
          <w:szCs w:val="18"/>
          <w:rtl/>
        </w:rPr>
        <w:t xml:space="preserve">وفي (الميزان) بعد بكر هذا: بكر بن بشر، والصواب بُكير بن بشر كما في (اللسان) ولو كان الصواب بَكر بن بشر لكان قبل ذلك، يعني: بعد حرف الألف، إذا كان هناك حرف الألف في اسم الأب ويتوافق مع بكر، فإن هذا كان في حرف الألف وليس بعد بكر الأعنق. </w:t>
      </w:r>
    </w:p>
    <w:p w:rsidR="00C53BBD" w:rsidRPr="00CC3F0B" w:rsidRDefault="00C53BBD" w:rsidP="00CC3F0B">
      <w:pPr>
        <w:pStyle w:val="a3"/>
        <w:bidi/>
        <w:spacing w:before="0" w:beforeAutospacing="0" w:after="120" w:afterAutospacing="0"/>
        <w:jc w:val="lowKashida"/>
        <w:rPr>
          <w:rFonts w:asciiTheme="majorBidi" w:hAnsiTheme="majorBidi" w:cstheme="majorBidi"/>
          <w:b/>
          <w:bCs/>
          <w:sz w:val="18"/>
          <w:szCs w:val="18"/>
        </w:rPr>
      </w:pPr>
      <w:r w:rsidRPr="00CC3F0B">
        <w:rPr>
          <w:rFonts w:asciiTheme="majorBidi" w:hAnsiTheme="majorBidi" w:cstheme="majorBidi"/>
          <w:b/>
          <w:bCs/>
          <w:sz w:val="18"/>
          <w:szCs w:val="18"/>
          <w:rtl/>
        </w:rPr>
        <w:t>وأما التصحيف: فأمثلته في (الميزان) كثيرة، فمنها ذكر إبراهيم بن حميد، ثم إبراهيم بن أبي حنيفة، ثم إبراهيم بن حبان، طبعًا إذا كانت هي على الصواب ابن حبان، كان ينبغي أن تقدم على ابن حميد وابن أبي حنيفة، حرف الحاء مع النون، لكن الصواب هو ابن حيان، فالترتيب صحيح ولكن هناك تصحيف، بَدَا الاسم به بهذا التصحيف، لأنه وضع في غير موضعه.</w:t>
      </w:r>
    </w:p>
    <w:p w:rsidR="00C53BBD" w:rsidRPr="00CC3F0B" w:rsidRDefault="00C53BBD" w:rsidP="00CC3F0B">
      <w:pPr>
        <w:pStyle w:val="a3"/>
        <w:bidi/>
        <w:spacing w:before="0" w:beforeAutospacing="0" w:after="120" w:afterAutospacing="0"/>
        <w:jc w:val="lowKashida"/>
        <w:rPr>
          <w:rFonts w:asciiTheme="majorBidi" w:hAnsiTheme="majorBidi" w:cstheme="majorBidi"/>
          <w:b/>
          <w:bCs/>
          <w:sz w:val="18"/>
          <w:szCs w:val="18"/>
        </w:rPr>
      </w:pPr>
      <w:r w:rsidRPr="00CC3F0B">
        <w:rPr>
          <w:rFonts w:asciiTheme="majorBidi" w:hAnsiTheme="majorBidi" w:cstheme="majorBidi"/>
          <w:b/>
          <w:bCs/>
          <w:sz w:val="18"/>
          <w:szCs w:val="18"/>
          <w:rtl/>
        </w:rPr>
        <w:t>وذكر إبراهيم بن خيثم وبعده إبراهيم بن خضر، وخيثم تصحيف، وهذا هو الذي جعل الترتيب غير طبيعي، فخيثم الخاء مع الياء، كان ينبغي أن تؤخر عن الخضر فالخضر بالخاء مع الضاد، لكن الصواب خُثيم كما في (اللسان) بل ليس في الأسماء خيثم، وإنما فيها خُثيم وخيثمة، وعلى ذلك فالترتيب يكون صحيحًا، فالخاء مع الثاء خثيم، ينبغي أن تقدم الخاء مع الضاد في الخضر.</w:t>
      </w:r>
    </w:p>
    <w:p w:rsidR="00C53BBD" w:rsidRPr="00CC3F0B" w:rsidRDefault="00C53BBD" w:rsidP="00CC3F0B">
      <w:pPr>
        <w:pStyle w:val="a3"/>
        <w:bidi/>
        <w:spacing w:before="0" w:beforeAutospacing="0" w:after="120" w:afterAutospacing="0"/>
        <w:jc w:val="lowKashida"/>
        <w:rPr>
          <w:rFonts w:asciiTheme="majorBidi" w:hAnsiTheme="majorBidi" w:cstheme="majorBidi"/>
          <w:b/>
          <w:bCs/>
          <w:sz w:val="18"/>
          <w:szCs w:val="18"/>
        </w:rPr>
      </w:pPr>
      <w:r w:rsidRPr="00CC3F0B">
        <w:rPr>
          <w:rFonts w:asciiTheme="majorBidi" w:hAnsiTheme="majorBidi" w:cstheme="majorBidi"/>
          <w:b/>
          <w:bCs/>
          <w:sz w:val="18"/>
          <w:szCs w:val="18"/>
          <w:rtl/>
        </w:rPr>
        <w:t xml:space="preserve">وذكر أُصبغ بن محمد وبعده أصبغ بن بناتة، والترتيب في هذا يكون فيه خلل؛ لأن الباء مع النون مقدمة على الميم، وهي محمد أصبغ بن محمد، لكن الترتيب صحيح ولكن فيه تصحيف في كلمة بناتة، الصواب: نباتة، وعلى ذلك تكون الميم في محمد مقدمة على النون في نباتة، وهذا هو ما كشفه (اللسان) -(لسان الميزان)- لابن حجر. </w:t>
      </w:r>
    </w:p>
    <w:p w:rsidR="00C53BBD" w:rsidRPr="00CC3F0B" w:rsidRDefault="00C53BBD" w:rsidP="00CC3F0B">
      <w:pPr>
        <w:pStyle w:val="a3"/>
        <w:bidi/>
        <w:spacing w:before="0" w:beforeAutospacing="0" w:after="120" w:afterAutospacing="0"/>
        <w:jc w:val="lowKashida"/>
        <w:rPr>
          <w:rFonts w:asciiTheme="majorBidi" w:hAnsiTheme="majorBidi" w:cstheme="majorBidi"/>
          <w:b/>
          <w:bCs/>
          <w:spacing w:val="-2"/>
          <w:sz w:val="18"/>
          <w:szCs w:val="18"/>
        </w:rPr>
      </w:pPr>
      <w:r w:rsidRPr="00CC3F0B">
        <w:rPr>
          <w:rFonts w:asciiTheme="majorBidi" w:hAnsiTheme="majorBidi" w:cstheme="majorBidi"/>
          <w:b/>
          <w:bCs/>
          <w:spacing w:val="-2"/>
          <w:sz w:val="18"/>
          <w:szCs w:val="18"/>
          <w:rtl/>
        </w:rPr>
        <w:t xml:space="preserve">وذُكر الحارث بن شريح وبعده الحارث بن سعيد، والترتيب بهذا فيه خلل؛ لأن سعيد حرف السين في أوله، كان ينبغي أن يتقدم على حرف الشين، ولكن الترتيب صحيح، والتصحيف هو الذي جعل هذا الخلل، فشريح تصحيف، والصواب سري: الحارث بن سري، فحرف السين مع الراء ينبغي أن تقدم كما هو الحال على السين مع العين في الحارث بن سعيد، وهذا الصواب، وهو ما في (اللسان). </w:t>
      </w:r>
    </w:p>
    <w:p w:rsidR="00C53BBD" w:rsidRPr="00CC3F0B" w:rsidRDefault="00C53BBD" w:rsidP="00CC3F0B">
      <w:pPr>
        <w:pStyle w:val="a3"/>
        <w:bidi/>
        <w:spacing w:before="0" w:beforeAutospacing="0" w:after="120" w:afterAutospacing="0"/>
        <w:jc w:val="lowKashida"/>
        <w:rPr>
          <w:rFonts w:asciiTheme="majorBidi" w:hAnsiTheme="majorBidi" w:cstheme="majorBidi"/>
          <w:b/>
          <w:bCs/>
          <w:sz w:val="18"/>
          <w:szCs w:val="18"/>
        </w:rPr>
      </w:pPr>
      <w:r w:rsidRPr="00CC3F0B">
        <w:rPr>
          <w:rFonts w:asciiTheme="majorBidi" w:hAnsiTheme="majorBidi" w:cstheme="majorBidi"/>
          <w:b/>
          <w:bCs/>
          <w:sz w:val="18"/>
          <w:szCs w:val="18"/>
          <w:rtl/>
        </w:rPr>
        <w:t xml:space="preserve">والتحريف في (الميزان) كثير أيضًا؛ فمنه: أن فيه أسامة بن يزيد بن أسلم، وبعده أسامة بن يزيد الليثي، ثم أسامة بن سعد، ويزيد في الأولين في أسامة بن يزيد بن أسلم، وفي أسامة بن يزيد الليثي تحريف والصواب زيد: أسامة بن زيد بن أسلم، وأسامة بن زيد الليثي، ثم يكون بعده حرف السين مع العين صحيح، وهو أسامة بن سعد، فالترتيب صحيح ولكن التحريف في زيد وجعلها يزيد، هو الذي جعل هذا الخلل، وفي إسماعيل بن مسلم وبعده إسماعيل بن سلمة، طبعًا مسلم وسلمة تقدم سلمة السين مع اللام على الميم مع السين، وسلمة تحريف، والصواب مسلمة، مسلمة تؤخر على مسلم كما هو الترتيب؛ لأنهما يتوافقان في البداية في الميم والسين واللام والميم، وتزيد مسلمة حرف التاء فتكون مؤخرة، إسماعيل بن مسلم وإسماعيل بن مسلمة، وهذا هو الذي في (اللسان). </w:t>
      </w:r>
    </w:p>
    <w:p w:rsidR="00C53BBD" w:rsidRPr="00CC3F0B" w:rsidRDefault="00C53BBD" w:rsidP="00CC3F0B">
      <w:pPr>
        <w:spacing w:line="240" w:lineRule="auto"/>
        <w:rPr>
          <w:rFonts w:asciiTheme="majorBidi" w:hAnsiTheme="majorBidi" w:cstheme="majorBidi"/>
          <w:b/>
          <w:bCs/>
          <w:sz w:val="18"/>
          <w:szCs w:val="18"/>
          <w:rtl/>
        </w:rPr>
      </w:pPr>
      <w:r w:rsidRPr="00CC3F0B">
        <w:rPr>
          <w:rFonts w:asciiTheme="majorBidi" w:hAnsiTheme="majorBidi" w:cstheme="majorBidi"/>
          <w:b/>
          <w:bCs/>
          <w:sz w:val="18"/>
          <w:szCs w:val="18"/>
          <w:rtl/>
        </w:rPr>
        <w:lastRenderedPageBreak/>
        <w:t>فهذه الأغلاط الواقعة في (الميزان) المطبوع بمصر ينبه عليها ويلفت إليها ترتيب الأسماء في التراجم كما هو واضح، على أنه ربما أخل الذهبي في (الميزان) بالترتيب، ولكن (اللسان) يحول الترجمة المخالفة للترتيب إلى موضعها الصحيح، وربما أبقاها حيث وقعت في (الميزان) وقد يكون أراد ذلك وقد يكون هو أخطأ، أو تبع صاحب (الميزان) في هذا الترتيب.</w:t>
      </w:r>
    </w:p>
    <w:p w:rsidR="00C53BBD" w:rsidRPr="00CC3F0B" w:rsidRDefault="00C53BBD" w:rsidP="00CC3F0B">
      <w:pPr>
        <w:pStyle w:val="a4"/>
        <w:spacing w:line="240" w:lineRule="auto"/>
        <w:ind w:left="373"/>
        <w:jc w:val="center"/>
        <w:rPr>
          <w:rFonts w:asciiTheme="majorBidi" w:hAnsiTheme="majorBidi" w:cstheme="majorBidi"/>
          <w:b/>
          <w:bCs/>
          <w:sz w:val="18"/>
          <w:szCs w:val="18"/>
          <w:rtl/>
        </w:rPr>
      </w:pPr>
      <w:r w:rsidRPr="00CC3F0B">
        <w:rPr>
          <w:rFonts w:asciiTheme="majorBidi" w:hAnsiTheme="majorBidi" w:cstheme="majorBidi"/>
          <w:b/>
          <w:bCs/>
          <w:sz w:val="18"/>
          <w:szCs w:val="18"/>
          <w:rtl/>
        </w:rPr>
        <w:t>المراجع والمصادر</w:t>
      </w:r>
    </w:p>
    <w:p w:rsidR="00C53BBD" w:rsidRPr="00CC3F0B" w:rsidRDefault="00C53BBD" w:rsidP="00CC3F0B">
      <w:pPr>
        <w:numPr>
          <w:ilvl w:val="0"/>
          <w:numId w:val="1"/>
        </w:numPr>
        <w:spacing w:after="120" w:line="240" w:lineRule="auto"/>
        <w:jc w:val="lowKashida"/>
        <w:rPr>
          <w:rFonts w:asciiTheme="majorBidi" w:hAnsiTheme="majorBidi" w:cstheme="majorBidi"/>
          <w:b/>
          <w:bCs/>
          <w:sz w:val="18"/>
          <w:szCs w:val="18"/>
          <w:lang w:bidi="ar-EG"/>
        </w:rPr>
      </w:pPr>
      <w:r w:rsidRPr="00CC3F0B">
        <w:rPr>
          <w:rFonts w:asciiTheme="majorBidi" w:hAnsiTheme="majorBidi" w:cstheme="majorBidi"/>
          <w:b/>
          <w:bCs/>
          <w:sz w:val="18"/>
          <w:szCs w:val="18"/>
          <w:rtl/>
          <w:lang w:bidi="ar-EG"/>
        </w:rPr>
        <w:t xml:space="preserve">(علم رجال الحديث) </w:t>
      </w:r>
    </w:p>
    <w:p w:rsidR="00C53BBD" w:rsidRPr="00CC3F0B" w:rsidRDefault="00C53BBD" w:rsidP="00CC3F0B">
      <w:pPr>
        <w:spacing w:after="120" w:line="240" w:lineRule="auto"/>
        <w:ind w:left="227" w:firstLine="283"/>
        <w:jc w:val="lowKashida"/>
        <w:rPr>
          <w:rFonts w:asciiTheme="majorBidi" w:hAnsiTheme="majorBidi" w:cstheme="majorBidi"/>
          <w:b/>
          <w:bCs/>
          <w:sz w:val="18"/>
          <w:szCs w:val="18"/>
          <w:rtl/>
          <w:lang w:bidi="ar-EG"/>
        </w:rPr>
      </w:pPr>
      <w:r w:rsidRPr="00CC3F0B">
        <w:rPr>
          <w:rFonts w:asciiTheme="majorBidi" w:hAnsiTheme="majorBidi" w:cstheme="majorBidi"/>
          <w:b/>
          <w:bCs/>
          <w:sz w:val="18"/>
          <w:szCs w:val="18"/>
          <w:rtl/>
          <w:lang w:bidi="ar-EG"/>
        </w:rPr>
        <w:t>تقي الدين الندوي المظاهري، المدينة المنورة، مكتبة الإيمان، 1987م.</w:t>
      </w:r>
    </w:p>
    <w:p w:rsidR="00C53BBD" w:rsidRPr="00CC3F0B" w:rsidRDefault="00C53BBD" w:rsidP="00CC3F0B">
      <w:pPr>
        <w:numPr>
          <w:ilvl w:val="0"/>
          <w:numId w:val="1"/>
        </w:numPr>
        <w:spacing w:after="120" w:line="240" w:lineRule="auto"/>
        <w:jc w:val="lowKashida"/>
        <w:rPr>
          <w:rFonts w:asciiTheme="majorBidi" w:hAnsiTheme="majorBidi" w:cstheme="majorBidi"/>
          <w:b/>
          <w:bCs/>
          <w:sz w:val="18"/>
          <w:szCs w:val="18"/>
        </w:rPr>
      </w:pPr>
      <w:r w:rsidRPr="00CC3F0B">
        <w:rPr>
          <w:rFonts w:asciiTheme="majorBidi" w:hAnsiTheme="majorBidi" w:cstheme="majorBidi"/>
          <w:b/>
          <w:bCs/>
          <w:sz w:val="18"/>
          <w:szCs w:val="18"/>
          <w:rtl/>
          <w:lang w:bidi="ar-EG"/>
        </w:rPr>
        <w:t xml:space="preserve">(علم الرجال وأهميته) </w:t>
      </w:r>
    </w:p>
    <w:p w:rsidR="00C53BBD" w:rsidRPr="00CC3F0B" w:rsidRDefault="00C53BBD" w:rsidP="00CC3F0B">
      <w:pPr>
        <w:spacing w:after="120" w:line="240" w:lineRule="auto"/>
        <w:ind w:left="510"/>
        <w:jc w:val="lowKashida"/>
        <w:rPr>
          <w:rFonts w:asciiTheme="majorBidi" w:hAnsiTheme="majorBidi" w:cstheme="majorBidi"/>
          <w:b/>
          <w:bCs/>
          <w:sz w:val="18"/>
          <w:szCs w:val="18"/>
          <w:rtl/>
        </w:rPr>
      </w:pPr>
      <w:r w:rsidRPr="00CC3F0B">
        <w:rPr>
          <w:rFonts w:asciiTheme="majorBidi" w:hAnsiTheme="majorBidi" w:cstheme="majorBidi"/>
          <w:b/>
          <w:bCs/>
          <w:sz w:val="18"/>
          <w:szCs w:val="18"/>
          <w:rtl/>
          <w:lang w:bidi="ar-EG"/>
        </w:rPr>
        <w:t>عبد الرحمن بن يحيى المعلمي اليماني, دار الراية للنشر والتوزيع, 1417هـ.</w:t>
      </w:r>
    </w:p>
    <w:p w:rsidR="00C53BBD" w:rsidRPr="00CC3F0B" w:rsidRDefault="00C53BBD" w:rsidP="00CC3F0B">
      <w:pPr>
        <w:numPr>
          <w:ilvl w:val="0"/>
          <w:numId w:val="1"/>
        </w:numPr>
        <w:spacing w:after="120" w:line="240" w:lineRule="auto"/>
        <w:jc w:val="lowKashida"/>
        <w:rPr>
          <w:rFonts w:asciiTheme="majorBidi" w:hAnsiTheme="majorBidi" w:cstheme="majorBidi"/>
          <w:b/>
          <w:bCs/>
          <w:sz w:val="18"/>
          <w:szCs w:val="18"/>
          <w:lang w:bidi="ar-EG"/>
        </w:rPr>
      </w:pPr>
      <w:r w:rsidRPr="00CC3F0B">
        <w:rPr>
          <w:rFonts w:asciiTheme="majorBidi" w:hAnsiTheme="majorBidi" w:cstheme="majorBidi"/>
          <w:b/>
          <w:bCs/>
          <w:sz w:val="18"/>
          <w:szCs w:val="18"/>
          <w:rtl/>
          <w:lang w:bidi="ar-EG"/>
        </w:rPr>
        <w:t xml:space="preserve">(علم طبقات المحدثين: أهميته وفوائده) </w:t>
      </w:r>
    </w:p>
    <w:p w:rsidR="00C53BBD" w:rsidRPr="00CC3F0B" w:rsidRDefault="00C53BBD" w:rsidP="00CC3F0B">
      <w:pPr>
        <w:spacing w:after="120" w:line="240" w:lineRule="auto"/>
        <w:ind w:left="227" w:firstLine="283"/>
        <w:jc w:val="lowKashida"/>
        <w:rPr>
          <w:rFonts w:asciiTheme="majorBidi" w:hAnsiTheme="majorBidi" w:cstheme="majorBidi"/>
          <w:b/>
          <w:bCs/>
          <w:sz w:val="18"/>
          <w:szCs w:val="18"/>
          <w:rtl/>
          <w:lang w:bidi="ar-EG"/>
        </w:rPr>
      </w:pPr>
      <w:r w:rsidRPr="00CC3F0B">
        <w:rPr>
          <w:rFonts w:asciiTheme="majorBidi" w:hAnsiTheme="majorBidi" w:cstheme="majorBidi"/>
          <w:b/>
          <w:bCs/>
          <w:sz w:val="18"/>
          <w:szCs w:val="18"/>
          <w:rtl/>
          <w:lang w:bidi="ar-EG"/>
        </w:rPr>
        <w:t>أسعد سالم يتم، مكتبة الرشد, 1994م.</w:t>
      </w:r>
    </w:p>
    <w:p w:rsidR="00C53BBD" w:rsidRPr="00CC3F0B" w:rsidRDefault="00C53BBD" w:rsidP="00CC3F0B">
      <w:pPr>
        <w:numPr>
          <w:ilvl w:val="0"/>
          <w:numId w:val="1"/>
        </w:numPr>
        <w:spacing w:after="120" w:line="240" w:lineRule="auto"/>
        <w:jc w:val="lowKashida"/>
        <w:rPr>
          <w:rFonts w:asciiTheme="majorBidi" w:hAnsiTheme="majorBidi" w:cstheme="majorBidi"/>
          <w:b/>
          <w:bCs/>
          <w:sz w:val="18"/>
          <w:szCs w:val="18"/>
          <w:lang w:bidi="ar-EG"/>
        </w:rPr>
      </w:pPr>
      <w:r w:rsidRPr="00CC3F0B">
        <w:rPr>
          <w:rFonts w:asciiTheme="majorBidi" w:hAnsiTheme="majorBidi" w:cstheme="majorBidi"/>
          <w:b/>
          <w:bCs/>
          <w:sz w:val="18"/>
          <w:szCs w:val="18"/>
          <w:rtl/>
          <w:lang w:bidi="ar-EG"/>
        </w:rPr>
        <w:t xml:space="preserve">(تاريخ خليفة بن خياط) </w:t>
      </w:r>
    </w:p>
    <w:p w:rsidR="00C53BBD" w:rsidRPr="00CC3F0B" w:rsidRDefault="00C53BBD" w:rsidP="00CC3F0B">
      <w:pPr>
        <w:spacing w:after="120" w:line="240" w:lineRule="auto"/>
        <w:ind w:left="510"/>
        <w:jc w:val="lowKashida"/>
        <w:rPr>
          <w:rFonts w:asciiTheme="majorBidi" w:hAnsiTheme="majorBidi" w:cstheme="majorBidi"/>
          <w:b/>
          <w:bCs/>
          <w:sz w:val="18"/>
          <w:szCs w:val="18"/>
          <w:rtl/>
          <w:lang w:bidi="ar-EG"/>
        </w:rPr>
      </w:pPr>
      <w:r w:rsidRPr="00CC3F0B">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C53BBD" w:rsidRPr="00CC3F0B" w:rsidRDefault="00C53BBD" w:rsidP="00CC3F0B">
      <w:pPr>
        <w:numPr>
          <w:ilvl w:val="0"/>
          <w:numId w:val="1"/>
        </w:numPr>
        <w:spacing w:after="120" w:line="240" w:lineRule="auto"/>
        <w:jc w:val="lowKashida"/>
        <w:rPr>
          <w:rFonts w:asciiTheme="majorBidi" w:hAnsiTheme="majorBidi" w:cstheme="majorBidi"/>
          <w:b/>
          <w:bCs/>
          <w:sz w:val="18"/>
          <w:szCs w:val="18"/>
          <w:lang w:bidi="ar-EG"/>
        </w:rPr>
      </w:pPr>
      <w:r w:rsidRPr="00CC3F0B">
        <w:rPr>
          <w:rFonts w:asciiTheme="majorBidi" w:hAnsiTheme="majorBidi" w:cstheme="majorBidi"/>
          <w:b/>
          <w:bCs/>
          <w:sz w:val="18"/>
          <w:szCs w:val="18"/>
          <w:rtl/>
          <w:lang w:bidi="ar-EG"/>
        </w:rPr>
        <w:t xml:space="preserve">(الطبقات) </w:t>
      </w:r>
    </w:p>
    <w:p w:rsidR="00C53BBD" w:rsidRPr="00CC3F0B" w:rsidRDefault="00C53BBD" w:rsidP="00CC3F0B">
      <w:pPr>
        <w:spacing w:after="120" w:line="240" w:lineRule="auto"/>
        <w:ind w:left="227" w:firstLine="283"/>
        <w:jc w:val="lowKashida"/>
        <w:rPr>
          <w:rFonts w:asciiTheme="majorBidi" w:hAnsiTheme="majorBidi" w:cstheme="majorBidi"/>
          <w:b/>
          <w:bCs/>
          <w:sz w:val="18"/>
          <w:szCs w:val="18"/>
          <w:rtl/>
          <w:lang w:bidi="ar-EG"/>
        </w:rPr>
      </w:pPr>
      <w:r w:rsidRPr="00CC3F0B">
        <w:rPr>
          <w:rFonts w:asciiTheme="majorBidi" w:hAnsiTheme="majorBidi" w:cstheme="majorBidi"/>
          <w:b/>
          <w:bCs/>
          <w:sz w:val="18"/>
          <w:szCs w:val="18"/>
          <w:rtl/>
          <w:lang w:bidi="ar-EG"/>
        </w:rPr>
        <w:t>خليفة بن خياط الشيباني، الرياض، دار طيبة،1982م.</w:t>
      </w:r>
    </w:p>
    <w:p w:rsidR="00C53BBD" w:rsidRPr="00CC3F0B" w:rsidRDefault="00C53BBD" w:rsidP="00CC3F0B">
      <w:pPr>
        <w:numPr>
          <w:ilvl w:val="0"/>
          <w:numId w:val="1"/>
        </w:numPr>
        <w:spacing w:after="120" w:line="240" w:lineRule="auto"/>
        <w:rPr>
          <w:rFonts w:asciiTheme="majorBidi" w:hAnsiTheme="majorBidi" w:cstheme="majorBidi"/>
          <w:b/>
          <w:bCs/>
          <w:sz w:val="18"/>
          <w:szCs w:val="18"/>
          <w:lang w:bidi="ar-EG"/>
        </w:rPr>
      </w:pPr>
      <w:r w:rsidRPr="00CC3F0B">
        <w:rPr>
          <w:rFonts w:asciiTheme="majorBidi" w:hAnsiTheme="majorBidi" w:cstheme="majorBidi"/>
          <w:b/>
          <w:bCs/>
          <w:sz w:val="18"/>
          <w:szCs w:val="18"/>
          <w:rtl/>
          <w:lang w:bidi="ar-EG"/>
        </w:rPr>
        <w:t xml:space="preserve">(التاريخ الكبير) </w:t>
      </w:r>
    </w:p>
    <w:p w:rsidR="00C53BBD" w:rsidRPr="00CC3F0B" w:rsidRDefault="00C53BBD" w:rsidP="00CC3F0B">
      <w:pPr>
        <w:spacing w:after="120" w:line="240" w:lineRule="auto"/>
        <w:ind w:left="510"/>
        <w:rPr>
          <w:rFonts w:asciiTheme="majorBidi" w:hAnsiTheme="majorBidi" w:cstheme="majorBidi"/>
          <w:b/>
          <w:bCs/>
          <w:sz w:val="18"/>
          <w:szCs w:val="18"/>
          <w:rtl/>
          <w:lang w:bidi="ar-EG"/>
        </w:rPr>
      </w:pPr>
      <w:r w:rsidRPr="00CC3F0B">
        <w:rPr>
          <w:rFonts w:asciiTheme="majorBidi" w:hAnsiTheme="majorBidi" w:cstheme="majorBidi"/>
          <w:b/>
          <w:bCs/>
          <w:sz w:val="18"/>
          <w:szCs w:val="18"/>
          <w:rtl/>
          <w:lang w:bidi="ar-EG"/>
        </w:rPr>
        <w:t>عبد الله بن اسماعيل بن ابراهيم البخاري، بيروت، دار الكتب العلمية، 1884م.</w:t>
      </w:r>
    </w:p>
    <w:p w:rsidR="00C53BBD" w:rsidRPr="00CC3F0B" w:rsidRDefault="00C53BBD" w:rsidP="00CC3F0B">
      <w:pPr>
        <w:numPr>
          <w:ilvl w:val="0"/>
          <w:numId w:val="1"/>
        </w:numPr>
        <w:spacing w:after="120" w:line="240" w:lineRule="auto"/>
        <w:jc w:val="lowKashida"/>
        <w:rPr>
          <w:rFonts w:asciiTheme="majorBidi" w:hAnsiTheme="majorBidi" w:cstheme="majorBidi"/>
          <w:b/>
          <w:bCs/>
          <w:sz w:val="18"/>
          <w:szCs w:val="18"/>
          <w:lang w:bidi="ar-EG"/>
        </w:rPr>
      </w:pPr>
      <w:r w:rsidRPr="00CC3F0B">
        <w:rPr>
          <w:rFonts w:asciiTheme="majorBidi" w:hAnsiTheme="majorBidi" w:cstheme="majorBidi"/>
          <w:b/>
          <w:bCs/>
          <w:sz w:val="18"/>
          <w:szCs w:val="18"/>
          <w:rtl/>
          <w:lang w:bidi="ar-EG"/>
        </w:rPr>
        <w:t xml:space="preserve">(الجرح والتعديل) </w:t>
      </w:r>
    </w:p>
    <w:p w:rsidR="00C53BBD" w:rsidRPr="00CC3F0B" w:rsidRDefault="00C53BBD" w:rsidP="00CC3F0B">
      <w:pPr>
        <w:spacing w:after="120" w:line="240" w:lineRule="auto"/>
        <w:ind w:left="510"/>
        <w:jc w:val="lowKashida"/>
        <w:rPr>
          <w:rFonts w:asciiTheme="majorBidi" w:hAnsiTheme="majorBidi" w:cstheme="majorBidi"/>
          <w:b/>
          <w:bCs/>
          <w:sz w:val="18"/>
          <w:szCs w:val="18"/>
          <w:rtl/>
          <w:lang w:bidi="ar-EG"/>
        </w:rPr>
      </w:pPr>
      <w:r w:rsidRPr="00CC3F0B">
        <w:rPr>
          <w:rFonts w:asciiTheme="majorBidi" w:hAnsiTheme="majorBidi" w:cstheme="majorBidi"/>
          <w:b/>
          <w:bCs/>
          <w:sz w:val="18"/>
          <w:szCs w:val="18"/>
          <w:rtl/>
          <w:lang w:bidi="ar-EG"/>
        </w:rPr>
        <w:lastRenderedPageBreak/>
        <w:t>عبد الرحمن بن أبي حاتم محمد بن إدريس أبو محمد الرازي التميمي، بيروت، دار إحياء التراث العربي، 1952م.</w:t>
      </w:r>
    </w:p>
    <w:p w:rsidR="00C53BBD" w:rsidRPr="00CC3F0B" w:rsidRDefault="00C53BBD" w:rsidP="00CC3F0B">
      <w:pPr>
        <w:numPr>
          <w:ilvl w:val="0"/>
          <w:numId w:val="1"/>
        </w:numPr>
        <w:spacing w:after="120" w:line="240" w:lineRule="auto"/>
        <w:jc w:val="lowKashida"/>
        <w:rPr>
          <w:rFonts w:asciiTheme="majorBidi" w:hAnsiTheme="majorBidi" w:cstheme="majorBidi"/>
          <w:b/>
          <w:bCs/>
          <w:sz w:val="18"/>
          <w:szCs w:val="18"/>
          <w:lang w:bidi="ar-EG"/>
        </w:rPr>
      </w:pPr>
      <w:r w:rsidRPr="00CC3F0B">
        <w:rPr>
          <w:rFonts w:asciiTheme="majorBidi" w:hAnsiTheme="majorBidi" w:cstheme="majorBidi"/>
          <w:b/>
          <w:bCs/>
          <w:sz w:val="18"/>
          <w:szCs w:val="18"/>
          <w:rtl/>
          <w:lang w:bidi="ar-EG"/>
        </w:rPr>
        <w:t>(مناهج المحدِّثين في</w:t>
      </w:r>
      <w:r w:rsidRPr="00CC3F0B">
        <w:rPr>
          <w:rFonts w:asciiTheme="majorBidi" w:hAnsiTheme="majorBidi" w:cstheme="majorBidi"/>
          <w:b/>
          <w:bCs/>
          <w:sz w:val="18"/>
          <w:szCs w:val="18"/>
          <w:lang w:bidi="ar-EG"/>
        </w:rPr>
        <w:t xml:space="preserve"> </w:t>
      </w:r>
      <w:r w:rsidRPr="00CC3F0B">
        <w:rPr>
          <w:rFonts w:asciiTheme="majorBidi" w:hAnsiTheme="majorBidi" w:cstheme="majorBidi"/>
          <w:b/>
          <w:bCs/>
          <w:sz w:val="18"/>
          <w:szCs w:val="18"/>
          <w:rtl/>
          <w:lang w:bidi="ar-EG"/>
        </w:rPr>
        <w:t xml:space="preserve">رواية الحديث بالمعنى) </w:t>
      </w:r>
    </w:p>
    <w:p w:rsidR="00C53BBD" w:rsidRPr="00CC3F0B" w:rsidRDefault="00C53BBD" w:rsidP="00CC3F0B">
      <w:pPr>
        <w:spacing w:after="120" w:line="240" w:lineRule="auto"/>
        <w:ind w:left="510"/>
        <w:jc w:val="lowKashida"/>
        <w:rPr>
          <w:rFonts w:asciiTheme="majorBidi" w:hAnsiTheme="majorBidi" w:cstheme="majorBidi"/>
          <w:b/>
          <w:bCs/>
          <w:sz w:val="18"/>
          <w:szCs w:val="18"/>
          <w:rtl/>
          <w:lang w:bidi="ar-EG"/>
        </w:rPr>
      </w:pPr>
      <w:r w:rsidRPr="00CC3F0B">
        <w:rPr>
          <w:rFonts w:asciiTheme="majorBidi" w:hAnsiTheme="majorBidi" w:cstheme="majorBidi"/>
          <w:b/>
          <w:bCs/>
          <w:sz w:val="18"/>
          <w:szCs w:val="18"/>
          <w:rtl/>
          <w:lang w:bidi="ar-EG"/>
        </w:rPr>
        <w:t>عبد الرزاق بن خليفة الشايجي، بيروت، دار ابن حزم للطباعة والنشر، 1419هـ.</w:t>
      </w:r>
    </w:p>
    <w:p w:rsidR="00C53BBD" w:rsidRPr="00CC3F0B" w:rsidRDefault="00C53BBD" w:rsidP="00CC3F0B">
      <w:pPr>
        <w:numPr>
          <w:ilvl w:val="0"/>
          <w:numId w:val="1"/>
        </w:numPr>
        <w:spacing w:after="120" w:line="240" w:lineRule="auto"/>
        <w:jc w:val="lowKashida"/>
        <w:rPr>
          <w:rFonts w:asciiTheme="majorBidi" w:hAnsiTheme="majorBidi" w:cstheme="majorBidi"/>
          <w:b/>
          <w:bCs/>
          <w:sz w:val="18"/>
          <w:szCs w:val="18"/>
          <w:lang w:bidi="ar-EG"/>
        </w:rPr>
      </w:pPr>
      <w:r w:rsidRPr="00CC3F0B">
        <w:rPr>
          <w:rFonts w:asciiTheme="majorBidi" w:hAnsiTheme="majorBidi" w:cstheme="majorBidi"/>
          <w:b/>
          <w:bCs/>
          <w:sz w:val="18"/>
          <w:szCs w:val="18"/>
          <w:rtl/>
          <w:lang w:bidi="ar-EG"/>
        </w:rPr>
        <w:t xml:space="preserve">(الضوء اللامع المبين عن مناهج المحدثين) </w:t>
      </w:r>
    </w:p>
    <w:p w:rsidR="00C53BBD" w:rsidRPr="00CC3F0B" w:rsidRDefault="00C53BBD" w:rsidP="00CC3F0B">
      <w:pPr>
        <w:spacing w:after="120" w:line="240" w:lineRule="auto"/>
        <w:ind w:left="227" w:firstLine="283"/>
        <w:jc w:val="lowKashida"/>
        <w:rPr>
          <w:rFonts w:asciiTheme="majorBidi" w:hAnsiTheme="majorBidi" w:cstheme="majorBidi"/>
          <w:b/>
          <w:bCs/>
          <w:sz w:val="18"/>
          <w:szCs w:val="18"/>
          <w:rtl/>
          <w:lang w:bidi="ar-EG"/>
        </w:rPr>
      </w:pPr>
      <w:r w:rsidRPr="00CC3F0B">
        <w:rPr>
          <w:rFonts w:asciiTheme="majorBidi" w:hAnsiTheme="majorBidi" w:cstheme="majorBidi"/>
          <w:b/>
          <w:bCs/>
          <w:sz w:val="18"/>
          <w:szCs w:val="18"/>
          <w:rtl/>
          <w:lang w:bidi="ar-EG"/>
        </w:rPr>
        <w:t>أحمد محرم الشيخ ناجي, مطبعة الصفا والمروة, 2001م.</w:t>
      </w:r>
    </w:p>
    <w:p w:rsidR="00C53BBD" w:rsidRPr="00CC3F0B" w:rsidRDefault="00C53BBD" w:rsidP="00CC3F0B">
      <w:pPr>
        <w:numPr>
          <w:ilvl w:val="0"/>
          <w:numId w:val="1"/>
        </w:numPr>
        <w:spacing w:after="120" w:line="240" w:lineRule="auto"/>
        <w:jc w:val="lowKashida"/>
        <w:rPr>
          <w:rFonts w:asciiTheme="majorBidi" w:hAnsiTheme="majorBidi" w:cstheme="majorBidi"/>
          <w:b/>
          <w:bCs/>
          <w:sz w:val="18"/>
          <w:szCs w:val="18"/>
          <w:lang w:bidi="ar-EG"/>
        </w:rPr>
      </w:pPr>
      <w:r w:rsidRPr="00CC3F0B">
        <w:rPr>
          <w:rFonts w:asciiTheme="majorBidi" w:hAnsiTheme="majorBidi" w:cstheme="majorBidi"/>
          <w:b/>
          <w:bCs/>
          <w:sz w:val="18"/>
          <w:szCs w:val="18"/>
          <w:rtl/>
          <w:lang w:bidi="ar-EG"/>
        </w:rPr>
        <w:t xml:space="preserve">(من روى عن أبيه عن جده) </w:t>
      </w:r>
    </w:p>
    <w:p w:rsidR="00C53BBD" w:rsidRPr="00CC3F0B" w:rsidRDefault="00C53BBD" w:rsidP="00CC3F0B">
      <w:pPr>
        <w:spacing w:after="120" w:line="240" w:lineRule="auto"/>
        <w:ind w:left="510"/>
        <w:jc w:val="lowKashida"/>
        <w:rPr>
          <w:rFonts w:asciiTheme="majorBidi" w:hAnsiTheme="majorBidi" w:cstheme="majorBidi"/>
          <w:b/>
          <w:bCs/>
          <w:sz w:val="18"/>
          <w:szCs w:val="18"/>
          <w:rtl/>
          <w:lang w:bidi="ar-EG"/>
        </w:rPr>
      </w:pPr>
      <w:r w:rsidRPr="00CC3F0B">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C53BBD" w:rsidRPr="00CC3F0B" w:rsidRDefault="00C53BBD" w:rsidP="00CC3F0B">
      <w:pPr>
        <w:numPr>
          <w:ilvl w:val="0"/>
          <w:numId w:val="1"/>
        </w:numPr>
        <w:spacing w:after="120" w:line="240" w:lineRule="auto"/>
        <w:jc w:val="lowKashida"/>
        <w:rPr>
          <w:rFonts w:asciiTheme="majorBidi" w:hAnsiTheme="majorBidi" w:cstheme="majorBidi"/>
          <w:b/>
          <w:bCs/>
          <w:sz w:val="18"/>
          <w:szCs w:val="18"/>
          <w:lang w:bidi="ar-EG"/>
        </w:rPr>
      </w:pPr>
      <w:r w:rsidRPr="00CC3F0B">
        <w:rPr>
          <w:rFonts w:asciiTheme="majorBidi" w:hAnsiTheme="majorBidi" w:cstheme="majorBidi"/>
          <w:b/>
          <w:bCs/>
          <w:sz w:val="18"/>
          <w:szCs w:val="18"/>
          <w:rtl/>
          <w:lang w:bidi="ar-EG"/>
        </w:rPr>
        <w:t xml:space="preserve">(الرواة من الأخوة والأخوات) </w:t>
      </w:r>
    </w:p>
    <w:p w:rsidR="00C53BBD" w:rsidRPr="00CC3F0B" w:rsidRDefault="00C53BBD" w:rsidP="00CC3F0B">
      <w:pPr>
        <w:spacing w:after="120" w:line="240" w:lineRule="auto"/>
        <w:ind w:left="510"/>
        <w:jc w:val="lowKashida"/>
        <w:rPr>
          <w:rFonts w:asciiTheme="majorBidi" w:hAnsiTheme="majorBidi" w:cstheme="majorBidi"/>
          <w:b/>
          <w:bCs/>
          <w:sz w:val="18"/>
          <w:szCs w:val="18"/>
          <w:rtl/>
          <w:lang w:bidi="ar-EG"/>
        </w:rPr>
      </w:pPr>
      <w:r w:rsidRPr="00CC3F0B">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C53BBD" w:rsidRPr="00CC3F0B" w:rsidRDefault="00C53BBD" w:rsidP="00CC3F0B">
      <w:pPr>
        <w:numPr>
          <w:ilvl w:val="0"/>
          <w:numId w:val="1"/>
        </w:numPr>
        <w:spacing w:after="120" w:line="240" w:lineRule="auto"/>
        <w:jc w:val="lowKashida"/>
        <w:rPr>
          <w:rFonts w:asciiTheme="majorBidi" w:hAnsiTheme="majorBidi" w:cstheme="majorBidi"/>
          <w:b/>
          <w:bCs/>
          <w:sz w:val="18"/>
          <w:szCs w:val="18"/>
          <w:lang w:bidi="ar-EG"/>
        </w:rPr>
      </w:pPr>
      <w:r w:rsidRPr="00CC3F0B">
        <w:rPr>
          <w:rFonts w:asciiTheme="majorBidi" w:hAnsiTheme="majorBidi" w:cstheme="majorBidi"/>
          <w:b/>
          <w:bCs/>
          <w:sz w:val="18"/>
          <w:szCs w:val="18"/>
          <w:rtl/>
          <w:lang w:bidi="ar-EG"/>
        </w:rPr>
        <w:t xml:space="preserve">(الكنى والأسماء) </w:t>
      </w:r>
    </w:p>
    <w:p w:rsidR="00C53BBD" w:rsidRPr="00CC3F0B" w:rsidRDefault="00C53BBD" w:rsidP="00CC3F0B">
      <w:pPr>
        <w:spacing w:after="120" w:line="240" w:lineRule="auto"/>
        <w:ind w:left="227" w:firstLine="283"/>
        <w:jc w:val="lowKashida"/>
        <w:rPr>
          <w:rFonts w:asciiTheme="majorBidi" w:hAnsiTheme="majorBidi" w:cstheme="majorBidi"/>
          <w:b/>
          <w:bCs/>
          <w:sz w:val="18"/>
          <w:szCs w:val="18"/>
          <w:rtl/>
          <w:lang w:bidi="ar-EG"/>
        </w:rPr>
      </w:pPr>
      <w:r w:rsidRPr="00CC3F0B">
        <w:rPr>
          <w:rFonts w:asciiTheme="majorBidi" w:hAnsiTheme="majorBidi" w:cstheme="majorBidi"/>
          <w:b/>
          <w:bCs/>
          <w:sz w:val="18"/>
          <w:szCs w:val="18"/>
          <w:rtl/>
          <w:lang w:bidi="ar-EG"/>
        </w:rPr>
        <w:t>محمد بن أحمد الدولابي،حيدر آباد، دائرة المعارف النظامية، 1322هـ.</w:t>
      </w:r>
    </w:p>
    <w:p w:rsidR="00C53BBD" w:rsidRPr="00CC3F0B" w:rsidRDefault="00C53BBD" w:rsidP="00CC3F0B">
      <w:pPr>
        <w:numPr>
          <w:ilvl w:val="0"/>
          <w:numId w:val="1"/>
        </w:numPr>
        <w:spacing w:after="120" w:line="240" w:lineRule="auto"/>
        <w:jc w:val="lowKashida"/>
        <w:rPr>
          <w:rFonts w:asciiTheme="majorBidi" w:hAnsiTheme="majorBidi" w:cstheme="majorBidi"/>
          <w:b/>
          <w:bCs/>
          <w:sz w:val="18"/>
          <w:szCs w:val="18"/>
          <w:lang w:bidi="ar-EG"/>
        </w:rPr>
      </w:pPr>
      <w:r w:rsidRPr="00CC3F0B">
        <w:rPr>
          <w:rFonts w:asciiTheme="majorBidi" w:hAnsiTheme="majorBidi" w:cstheme="majorBidi"/>
          <w:b/>
          <w:bCs/>
          <w:sz w:val="18"/>
          <w:szCs w:val="18"/>
          <w:rtl/>
          <w:lang w:bidi="ar-EG"/>
        </w:rPr>
        <w:t xml:space="preserve">(طبقات الحنابلة) </w:t>
      </w:r>
    </w:p>
    <w:p w:rsidR="00C53BBD" w:rsidRPr="00CC3F0B" w:rsidRDefault="00C53BBD" w:rsidP="00CC3F0B">
      <w:pPr>
        <w:spacing w:after="120" w:line="240" w:lineRule="auto"/>
        <w:ind w:left="510"/>
        <w:jc w:val="lowKashida"/>
        <w:rPr>
          <w:rFonts w:asciiTheme="majorBidi" w:hAnsiTheme="majorBidi" w:cstheme="majorBidi"/>
          <w:b/>
          <w:bCs/>
          <w:sz w:val="18"/>
          <w:szCs w:val="18"/>
          <w:rtl/>
          <w:lang w:bidi="ar-EG"/>
        </w:rPr>
      </w:pPr>
      <w:r w:rsidRPr="00CC3F0B">
        <w:rPr>
          <w:rFonts w:asciiTheme="majorBidi" w:hAnsiTheme="majorBidi" w:cstheme="majorBidi"/>
          <w:b/>
          <w:bCs/>
          <w:sz w:val="18"/>
          <w:szCs w:val="18"/>
          <w:rtl/>
          <w:lang w:bidi="ar-EG"/>
        </w:rPr>
        <w:t>محمد بن محمد بن الحسين البغدادي أبو يعلى</w:t>
      </w:r>
      <w:r w:rsidRPr="00CC3F0B">
        <w:rPr>
          <w:rFonts w:asciiTheme="majorBidi" w:hAnsiTheme="majorBidi" w:cstheme="majorBidi"/>
          <w:b/>
          <w:bCs/>
          <w:sz w:val="18"/>
          <w:szCs w:val="18"/>
          <w:lang w:bidi="ar-EG"/>
        </w:rPr>
        <w:t xml:space="preserve"> </w:t>
      </w:r>
      <w:r w:rsidRPr="00CC3F0B">
        <w:rPr>
          <w:rFonts w:asciiTheme="majorBidi" w:hAnsiTheme="majorBidi" w:cstheme="majorBidi"/>
          <w:b/>
          <w:bCs/>
          <w:sz w:val="18"/>
          <w:szCs w:val="18"/>
          <w:rtl/>
          <w:lang w:bidi="ar-EG"/>
        </w:rPr>
        <w:t>الحنبلي، مطبعة السّنة المحمدية، 1371هـ.</w:t>
      </w:r>
    </w:p>
    <w:p w:rsidR="00C53BBD" w:rsidRPr="00CC3F0B" w:rsidRDefault="00C53BBD" w:rsidP="00CC3F0B">
      <w:pPr>
        <w:numPr>
          <w:ilvl w:val="0"/>
          <w:numId w:val="1"/>
        </w:numPr>
        <w:spacing w:after="120" w:line="240" w:lineRule="auto"/>
        <w:jc w:val="lowKashida"/>
        <w:rPr>
          <w:rFonts w:asciiTheme="majorBidi" w:hAnsiTheme="majorBidi" w:cstheme="majorBidi"/>
          <w:b/>
          <w:bCs/>
          <w:sz w:val="18"/>
          <w:szCs w:val="18"/>
          <w:lang w:bidi="ar-EG"/>
        </w:rPr>
      </w:pPr>
      <w:r w:rsidRPr="00CC3F0B">
        <w:rPr>
          <w:rFonts w:asciiTheme="majorBidi" w:hAnsiTheme="majorBidi" w:cstheme="majorBidi"/>
          <w:b/>
          <w:bCs/>
          <w:sz w:val="18"/>
          <w:szCs w:val="18"/>
          <w:rtl/>
          <w:lang w:bidi="ar-EG"/>
        </w:rPr>
        <w:t xml:space="preserve">(الطبقات الكبرى) </w:t>
      </w:r>
    </w:p>
    <w:p w:rsidR="00C53BBD" w:rsidRPr="00CC3F0B" w:rsidRDefault="00C53BBD" w:rsidP="00CC3F0B">
      <w:pPr>
        <w:spacing w:after="120" w:line="240" w:lineRule="auto"/>
        <w:ind w:left="510"/>
        <w:jc w:val="lowKashida"/>
        <w:rPr>
          <w:rFonts w:asciiTheme="majorBidi" w:hAnsiTheme="majorBidi" w:cstheme="majorBidi"/>
          <w:b/>
          <w:bCs/>
          <w:sz w:val="18"/>
          <w:szCs w:val="18"/>
          <w:rtl/>
          <w:lang w:bidi="ar-EG"/>
        </w:rPr>
      </w:pPr>
      <w:r w:rsidRPr="00CC3F0B">
        <w:rPr>
          <w:rFonts w:asciiTheme="majorBidi" w:hAnsiTheme="majorBidi" w:cstheme="majorBidi"/>
          <w:b/>
          <w:bCs/>
          <w:sz w:val="18"/>
          <w:szCs w:val="18"/>
          <w:rtl/>
          <w:lang w:bidi="ar-EG"/>
        </w:rPr>
        <w:t>ابن سعد محمد بن سعد، تحقيق: إحسان عباس، دار بيروت للطباعة والنشر، 1405هـ.</w:t>
      </w:r>
      <w:r w:rsidRPr="00CC3F0B">
        <w:rPr>
          <w:rFonts w:asciiTheme="majorBidi" w:hAnsiTheme="majorBidi" w:cstheme="majorBidi"/>
          <w:b/>
          <w:bCs/>
          <w:sz w:val="18"/>
          <w:szCs w:val="18"/>
          <w:lang w:bidi="ar-EG"/>
        </w:rPr>
        <w:t xml:space="preserve"> </w:t>
      </w:r>
    </w:p>
    <w:p w:rsidR="00CC3F0B" w:rsidRDefault="00CC3F0B" w:rsidP="00C53BBD">
      <w:pPr>
        <w:rPr>
          <w:rtl/>
          <w:lang w:bidi="ar-EG"/>
        </w:rPr>
        <w:sectPr w:rsidR="00CC3F0B" w:rsidSect="00CC3F0B">
          <w:type w:val="continuous"/>
          <w:pgSz w:w="11906" w:h="16838"/>
          <w:pgMar w:top="1440" w:right="1440" w:bottom="1440" w:left="1440" w:header="720" w:footer="720" w:gutter="0"/>
          <w:cols w:num="2" w:space="720"/>
          <w:bidi/>
          <w:rtlGutter/>
          <w:docGrid w:linePitch="360"/>
        </w:sectPr>
      </w:pPr>
    </w:p>
    <w:p w:rsidR="00C53BBD" w:rsidRDefault="00C53BBD" w:rsidP="00C53BBD">
      <w:pPr>
        <w:rPr>
          <w:lang w:bidi="ar-EG"/>
        </w:rPr>
      </w:pPr>
    </w:p>
    <w:sectPr w:rsidR="00C53BBD" w:rsidSect="00CC3F0B">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53BBD"/>
    <w:rsid w:val="00006C14"/>
    <w:rsid w:val="007B266D"/>
    <w:rsid w:val="007E639D"/>
    <w:rsid w:val="00C53BBD"/>
    <w:rsid w:val="00CC3F0B"/>
    <w:rsid w:val="00E11E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E1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C53BBD"/>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C53BBD"/>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C53BB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53B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2013-06-13T20:28:00Z</dcterms:created>
  <dcterms:modified xsi:type="dcterms:W3CDTF">2013-06-16T12:00:00Z</dcterms:modified>
</cp:coreProperties>
</file>