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2D07B2" w:rsidRDefault="0063734F" w:rsidP="0063734F">
      <w:pPr>
        <w:jc w:val="center"/>
        <w:rPr>
          <w:sz w:val="48"/>
          <w:szCs w:val="48"/>
          <w:rtl/>
        </w:rPr>
      </w:pPr>
      <w:r w:rsidRPr="002D07B2">
        <w:rPr>
          <w:rFonts w:ascii="Calibri" w:eastAsia="Calibri" w:hAnsi="Calibri" w:cs="AGA Rasheeq Bold" w:hint="cs"/>
          <w:sz w:val="48"/>
          <w:szCs w:val="48"/>
          <w:rtl/>
        </w:rPr>
        <w:t>علم الطبقات وعلم التراجم المعللة</w:t>
      </w:r>
    </w:p>
    <w:p w:rsidR="0063734F" w:rsidRPr="00BB1330" w:rsidRDefault="0063734F" w:rsidP="0063734F">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3734F" w:rsidRDefault="0063734F" w:rsidP="00B337CD">
      <w:pPr>
        <w:pStyle w:val="Author"/>
        <w:bidi/>
        <w:rPr>
          <w:rFonts w:eastAsia="Times New Roman"/>
        </w:rPr>
      </w:pPr>
      <w:r>
        <w:rPr>
          <w:rFonts w:hint="cs"/>
          <w:i/>
          <w:iCs/>
          <w:rtl/>
        </w:rPr>
        <w:t xml:space="preserve">إعداد / </w:t>
      </w:r>
      <w:r w:rsidR="00B337CD" w:rsidRPr="00B337CD">
        <w:rPr>
          <w:rFonts w:hint="cs"/>
          <w:i/>
          <w:iCs/>
          <w:rtl/>
          <w:lang w:bidi="ar-EG"/>
        </w:rPr>
        <w:t>شادية بيومي حامد</w:t>
      </w:r>
    </w:p>
    <w:p w:rsidR="0063734F" w:rsidRDefault="0063734F" w:rsidP="0063734F">
      <w:pPr>
        <w:pStyle w:val="Affiliation"/>
        <w:bidi/>
        <w:rPr>
          <w:rFonts w:eastAsia="Times New Roman"/>
        </w:rPr>
      </w:pPr>
      <w:r>
        <w:rPr>
          <w:rFonts w:hint="cs"/>
          <w:i/>
          <w:iCs/>
          <w:rtl/>
        </w:rPr>
        <w:t>قسم الدعوة وأصول الدين</w:t>
      </w:r>
    </w:p>
    <w:p w:rsidR="0063734F" w:rsidRDefault="0063734F" w:rsidP="0063734F">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3734F" w:rsidRDefault="0063734F" w:rsidP="0063734F">
      <w:pPr>
        <w:pStyle w:val="Affiliation"/>
        <w:bidi/>
        <w:rPr>
          <w:rtl/>
        </w:rPr>
      </w:pPr>
      <w:r>
        <w:rPr>
          <w:rFonts w:hint="cs"/>
          <w:rtl/>
        </w:rPr>
        <w:t>شاه علم - ماليزيا</w:t>
      </w:r>
    </w:p>
    <w:p w:rsidR="0063734F" w:rsidRDefault="00B337CD" w:rsidP="0063734F">
      <w:pPr>
        <w:spacing w:line="240" w:lineRule="auto"/>
        <w:jc w:val="center"/>
        <w:rPr>
          <w:rFonts w:asciiTheme="majorBidi" w:hAnsiTheme="majorBidi" w:cstheme="majorBidi"/>
          <w:b/>
          <w:bCs/>
          <w:sz w:val="18"/>
          <w:szCs w:val="18"/>
          <w:rtl/>
          <w:lang w:bidi="ar-EG"/>
        </w:rPr>
      </w:pPr>
      <w:r w:rsidRPr="00B337CD">
        <w:rPr>
          <w:rFonts w:ascii="Times New Roman" w:eastAsia="SimSun" w:hAnsi="Times New Roman" w:cs="Times New Roman"/>
          <w:i/>
          <w:iCs/>
          <w:sz w:val="20"/>
          <w:szCs w:val="20"/>
          <w:lang w:eastAsia="zh-CN" w:bidi="ar-EG"/>
        </w:rPr>
        <w:t>shadia@mediu.ws</w:t>
      </w:r>
    </w:p>
    <w:p w:rsidR="002D07B2" w:rsidRDefault="002D07B2" w:rsidP="002D07B2">
      <w:pPr>
        <w:pStyle w:val="a3"/>
        <w:jc w:val="right"/>
        <w:rPr>
          <w:rFonts w:asciiTheme="majorBidi" w:hAnsiTheme="majorBidi" w:cstheme="majorBidi"/>
          <w:b/>
          <w:bCs/>
          <w:sz w:val="18"/>
          <w:szCs w:val="18"/>
          <w:rtl/>
        </w:rPr>
        <w:sectPr w:rsidR="002D07B2" w:rsidSect="007E639D">
          <w:pgSz w:w="11906" w:h="16838"/>
          <w:pgMar w:top="1440" w:right="1440" w:bottom="1440" w:left="1440" w:header="720" w:footer="720" w:gutter="0"/>
          <w:cols w:space="720"/>
          <w:bidi/>
          <w:rtlGutter/>
          <w:docGrid w:linePitch="360"/>
        </w:sectPr>
      </w:pPr>
    </w:p>
    <w:p w:rsidR="0063734F" w:rsidRPr="002D07B2" w:rsidRDefault="0063734F" w:rsidP="002D07B2">
      <w:pPr>
        <w:pStyle w:val="a3"/>
        <w:jc w:val="right"/>
        <w:rPr>
          <w:rFonts w:asciiTheme="majorBidi" w:hAnsiTheme="majorBidi" w:cstheme="majorBidi"/>
          <w:b/>
          <w:bCs/>
          <w:sz w:val="18"/>
          <w:szCs w:val="18"/>
          <w:rtl/>
        </w:rPr>
      </w:pPr>
      <w:r w:rsidRPr="002D07B2">
        <w:rPr>
          <w:rFonts w:asciiTheme="majorBidi" w:hAnsiTheme="majorBidi" w:cstheme="majorBidi"/>
          <w:b/>
          <w:bCs/>
          <w:sz w:val="18"/>
          <w:szCs w:val="18"/>
          <w:rtl/>
        </w:rPr>
        <w:lastRenderedPageBreak/>
        <w:t xml:space="preserve">الخلاصة – هذا البحث يبحث فى </w:t>
      </w:r>
      <w:r w:rsidR="002D07B2">
        <w:rPr>
          <w:rFonts w:asciiTheme="majorBidi" w:hAnsiTheme="majorBidi" w:cstheme="majorBidi" w:hint="cs"/>
          <w:b/>
          <w:bCs/>
          <w:sz w:val="18"/>
          <w:szCs w:val="18"/>
          <w:rtl/>
        </w:rPr>
        <w:t>علم الطبقات وعلم التراجم المعللة</w:t>
      </w:r>
      <w:r w:rsidRPr="002D07B2">
        <w:rPr>
          <w:rFonts w:asciiTheme="majorBidi" w:hAnsiTheme="majorBidi" w:cstheme="majorBidi"/>
          <w:b/>
          <w:bCs/>
          <w:sz w:val="18"/>
          <w:szCs w:val="18"/>
        </w:rPr>
        <w:br/>
      </w:r>
      <w:r w:rsidRPr="002D07B2">
        <w:rPr>
          <w:rFonts w:asciiTheme="majorBidi" w:hAnsiTheme="majorBidi" w:cstheme="majorBidi"/>
          <w:b/>
          <w:bCs/>
          <w:sz w:val="18"/>
          <w:szCs w:val="18"/>
          <w:rtl/>
        </w:rPr>
        <w:t xml:space="preserve">الكلمات المفتاحية – </w:t>
      </w:r>
      <w:r w:rsidR="002D07B2">
        <w:rPr>
          <w:rFonts w:asciiTheme="majorBidi" w:hAnsiTheme="majorBidi" w:cstheme="majorBidi" w:hint="cs"/>
          <w:b/>
          <w:bCs/>
          <w:sz w:val="18"/>
          <w:szCs w:val="18"/>
          <w:rtl/>
        </w:rPr>
        <w:t xml:space="preserve">التراجم </w:t>
      </w:r>
      <w:r w:rsidR="002D07B2">
        <w:rPr>
          <w:rFonts w:asciiTheme="majorBidi" w:hAnsiTheme="majorBidi" w:cstheme="majorBidi"/>
          <w:b/>
          <w:bCs/>
          <w:sz w:val="18"/>
          <w:szCs w:val="18"/>
          <w:rtl/>
        </w:rPr>
        <w:t xml:space="preserve">، </w:t>
      </w:r>
      <w:r w:rsidR="002D07B2">
        <w:rPr>
          <w:rFonts w:asciiTheme="majorBidi" w:hAnsiTheme="majorBidi" w:cstheme="majorBidi" w:hint="cs"/>
          <w:b/>
          <w:bCs/>
          <w:sz w:val="18"/>
          <w:szCs w:val="18"/>
          <w:rtl/>
        </w:rPr>
        <w:t>الحدودة</w:t>
      </w:r>
      <w:r w:rsidR="002D07B2">
        <w:rPr>
          <w:rFonts w:asciiTheme="majorBidi" w:hAnsiTheme="majorBidi" w:cstheme="majorBidi"/>
          <w:b/>
          <w:bCs/>
          <w:sz w:val="18"/>
          <w:szCs w:val="18"/>
          <w:rtl/>
        </w:rPr>
        <w:t xml:space="preserve"> ، </w:t>
      </w:r>
      <w:r w:rsidR="002D07B2">
        <w:rPr>
          <w:rFonts w:asciiTheme="majorBidi" w:hAnsiTheme="majorBidi" w:cstheme="majorBidi" w:hint="cs"/>
          <w:b/>
          <w:bCs/>
          <w:sz w:val="18"/>
          <w:szCs w:val="18"/>
          <w:rtl/>
        </w:rPr>
        <w:t>متنوعة</w:t>
      </w:r>
      <w:r w:rsidRPr="002D07B2">
        <w:rPr>
          <w:rFonts w:asciiTheme="majorBidi" w:hAnsiTheme="majorBidi" w:cstheme="majorBidi"/>
          <w:b/>
          <w:bCs/>
          <w:sz w:val="18"/>
          <w:szCs w:val="18"/>
          <w:rtl/>
        </w:rPr>
        <w:t xml:space="preserve"> </w:t>
      </w:r>
    </w:p>
    <w:p w:rsidR="0063734F" w:rsidRPr="002D07B2" w:rsidRDefault="0063734F" w:rsidP="002D07B2">
      <w:pPr>
        <w:pStyle w:val="a3"/>
        <w:jc w:val="center"/>
        <w:rPr>
          <w:rFonts w:asciiTheme="majorBidi" w:hAnsiTheme="majorBidi" w:cstheme="majorBidi"/>
          <w:b/>
          <w:bCs/>
          <w:sz w:val="18"/>
          <w:szCs w:val="18"/>
          <w:lang w:bidi="ar-EG"/>
        </w:rPr>
      </w:pPr>
      <w:r w:rsidRPr="002D07B2">
        <w:rPr>
          <w:rFonts w:asciiTheme="majorBidi" w:hAnsiTheme="majorBidi" w:cstheme="majorBidi"/>
          <w:b/>
          <w:bCs/>
          <w:sz w:val="18"/>
          <w:szCs w:val="18"/>
          <w:rtl/>
        </w:rPr>
        <w:t>المقدمة</w:t>
      </w:r>
      <w:r w:rsidRPr="002D07B2">
        <w:rPr>
          <w:rFonts w:asciiTheme="majorBidi" w:hAnsiTheme="majorBidi" w:cstheme="majorBidi"/>
          <w:b/>
          <w:bCs/>
          <w:sz w:val="18"/>
          <w:szCs w:val="18"/>
          <w:lang w:bidi="ar-EG"/>
        </w:rPr>
        <w:t>.I</w:t>
      </w:r>
    </w:p>
    <w:p w:rsidR="0063734F" w:rsidRPr="002D07B2" w:rsidRDefault="0063734F" w:rsidP="002D07B2">
      <w:pPr>
        <w:pStyle w:val="a3"/>
        <w:jc w:val="right"/>
        <w:rPr>
          <w:rFonts w:asciiTheme="majorBidi" w:hAnsiTheme="majorBidi" w:cstheme="majorBidi"/>
          <w:b/>
          <w:bCs/>
          <w:sz w:val="18"/>
          <w:szCs w:val="18"/>
          <w:rtl/>
        </w:rPr>
      </w:pPr>
      <w:r w:rsidRPr="002D07B2">
        <w:rPr>
          <w:rFonts w:asciiTheme="majorBidi" w:hAnsiTheme="majorBidi" w:cstheme="majorBidi"/>
          <w:b/>
          <w:bCs/>
          <w:sz w:val="18"/>
          <w:szCs w:val="18"/>
        </w:rPr>
        <w:br/>
      </w:r>
      <w:r w:rsidRPr="002D07B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D07B2">
        <w:rPr>
          <w:rFonts w:asciiTheme="majorBidi" w:hAnsiTheme="majorBidi" w:cstheme="majorBidi" w:hint="cs"/>
          <w:b/>
          <w:bCs/>
          <w:sz w:val="18"/>
          <w:szCs w:val="18"/>
          <w:rtl/>
        </w:rPr>
        <w:t>علم الطبقات وعلم التراجم المعللة</w:t>
      </w:r>
    </w:p>
    <w:p w:rsidR="0063734F" w:rsidRPr="002D07B2" w:rsidRDefault="0063734F" w:rsidP="002D07B2">
      <w:pPr>
        <w:pStyle w:val="a3"/>
        <w:jc w:val="center"/>
        <w:rPr>
          <w:rFonts w:asciiTheme="majorBidi" w:hAnsiTheme="majorBidi" w:cstheme="majorBidi"/>
          <w:b/>
          <w:bCs/>
          <w:sz w:val="18"/>
          <w:szCs w:val="18"/>
        </w:rPr>
      </w:pPr>
      <w:r w:rsidRPr="002D07B2">
        <w:rPr>
          <w:rFonts w:asciiTheme="majorBidi" w:hAnsiTheme="majorBidi" w:cstheme="majorBidi"/>
          <w:b/>
          <w:bCs/>
          <w:sz w:val="18"/>
          <w:szCs w:val="18"/>
        </w:rPr>
        <w:br/>
      </w:r>
      <w:r w:rsidRPr="002D07B2">
        <w:rPr>
          <w:rFonts w:asciiTheme="majorBidi" w:hAnsiTheme="majorBidi" w:cstheme="majorBidi"/>
          <w:b/>
          <w:bCs/>
          <w:sz w:val="18"/>
          <w:szCs w:val="18"/>
          <w:rtl/>
        </w:rPr>
        <w:t>.عنوان المقال</w:t>
      </w:r>
      <w:r w:rsidRPr="002D07B2">
        <w:rPr>
          <w:rFonts w:asciiTheme="majorBidi" w:hAnsiTheme="majorBidi" w:cstheme="majorBidi"/>
          <w:b/>
          <w:bCs/>
          <w:sz w:val="18"/>
          <w:szCs w:val="18"/>
        </w:rPr>
        <w:t>II</w:t>
      </w:r>
    </w:p>
    <w:p w:rsidR="002D07B2" w:rsidRPr="002D07B2" w:rsidRDefault="002D07B2" w:rsidP="002D07B2">
      <w:pPr>
        <w:pStyle w:val="a3"/>
        <w:bidi/>
        <w:spacing w:before="0" w:beforeAutospacing="0" w:after="120" w:afterAutospacing="0"/>
        <w:jc w:val="lowKashida"/>
        <w:rPr>
          <w:rFonts w:asciiTheme="majorBidi" w:hAnsiTheme="majorBidi" w:cstheme="majorBidi"/>
          <w:b/>
          <w:bCs/>
          <w:sz w:val="18"/>
          <w:szCs w:val="18"/>
        </w:rPr>
      </w:pPr>
      <w:r w:rsidRPr="002D07B2">
        <w:rPr>
          <w:rFonts w:asciiTheme="majorBidi" w:hAnsiTheme="majorBidi" w:cstheme="majorBidi"/>
          <w:b/>
          <w:bCs/>
          <w:sz w:val="18"/>
          <w:szCs w:val="18"/>
          <w:rtl/>
        </w:rPr>
        <w:t>إن علم التراجم المعللة من العلوم الخفية غير المحدودة المعالم، ومباحثه فيما يخص كل راوٍ كثيرة متنوّعة، وقد أسهبنا القول في ذلك فيما مضى، وبين هذا العلم وعلم الطبقات علاقات عديدة، العلاقة الأولى من مهام علم التراجم المعللة الكشف عن الإرسال في روايات المحدث، وهنا يقدّم علم الطبقات وسيلة فعّالة للكشف عن المراسيل.</w:t>
      </w:r>
    </w:p>
    <w:p w:rsidR="002D07B2" w:rsidRPr="002D07B2" w:rsidRDefault="002D07B2" w:rsidP="002D07B2">
      <w:pPr>
        <w:pStyle w:val="a3"/>
        <w:bidi/>
        <w:spacing w:before="0" w:beforeAutospacing="0" w:after="120" w:afterAutospacing="0"/>
        <w:jc w:val="lowKashida"/>
        <w:rPr>
          <w:rFonts w:asciiTheme="majorBidi" w:hAnsiTheme="majorBidi" w:cstheme="majorBidi"/>
          <w:b/>
          <w:bCs/>
          <w:sz w:val="18"/>
          <w:szCs w:val="18"/>
          <w:rtl/>
        </w:rPr>
      </w:pPr>
      <w:r w:rsidRPr="002D07B2">
        <w:rPr>
          <w:rFonts w:asciiTheme="majorBidi" w:hAnsiTheme="majorBidi" w:cstheme="majorBidi"/>
          <w:b/>
          <w:bCs/>
          <w:sz w:val="18"/>
          <w:szCs w:val="18"/>
          <w:rtl/>
        </w:rPr>
        <w:t>ومثالٌ يوضح ذلك: فعكرمة مولى ابن عباس قال الذهبي: روى عن علي وهو في (سنن النسائي) وذلك ممكن؛ لأن ابن عباس ملكه عندما ولي البصرة لعلي، فحديثه عنه ومع ذلك حديثه عنه ليس بمتصل فإن عكرمة لم يدرك طبقة علي، بل أدرك طبقة عائشة وأبي هريرة وابن عباس.</w:t>
      </w:r>
    </w:p>
    <w:p w:rsidR="002D07B2" w:rsidRPr="002D07B2" w:rsidRDefault="002D07B2" w:rsidP="002D07B2">
      <w:pPr>
        <w:pStyle w:val="a4"/>
        <w:spacing w:line="240" w:lineRule="auto"/>
        <w:ind w:left="373"/>
        <w:jc w:val="center"/>
        <w:rPr>
          <w:rFonts w:asciiTheme="majorBidi" w:hAnsiTheme="majorBidi" w:cstheme="majorBidi"/>
          <w:b/>
          <w:bCs/>
          <w:sz w:val="18"/>
          <w:szCs w:val="18"/>
          <w:rtl/>
        </w:rPr>
      </w:pPr>
      <w:r w:rsidRPr="002D07B2">
        <w:rPr>
          <w:rFonts w:asciiTheme="majorBidi" w:hAnsiTheme="majorBidi" w:cstheme="majorBidi"/>
          <w:b/>
          <w:bCs/>
          <w:sz w:val="18"/>
          <w:szCs w:val="18"/>
          <w:rtl/>
        </w:rPr>
        <w:t>المراجع والمصادر</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(علم رجال الحديث) </w:t>
      </w:r>
    </w:p>
    <w:p w:rsidR="002D07B2" w:rsidRPr="002D07B2" w:rsidRDefault="002D07B2" w:rsidP="002D07B2">
      <w:pPr>
        <w:spacing w:after="120" w:line="240" w:lineRule="auto"/>
        <w:ind w:left="227" w:firstLine="283"/>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تقي الدين الندوي المظاهري، المدينة المنورة، مكتبة الإيمان، 1987م.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rPr>
      </w:pPr>
      <w:r w:rsidRPr="002D07B2">
        <w:rPr>
          <w:rFonts w:asciiTheme="majorBidi" w:hAnsiTheme="majorBidi" w:cstheme="majorBidi"/>
          <w:b/>
          <w:bCs/>
          <w:sz w:val="18"/>
          <w:szCs w:val="18"/>
          <w:rtl/>
          <w:lang w:bidi="ar-EG"/>
        </w:rPr>
        <w:t xml:space="preserve">(علم الرجال وأهميته) </w:t>
      </w:r>
    </w:p>
    <w:p w:rsidR="002D07B2" w:rsidRPr="002D07B2" w:rsidRDefault="002D07B2" w:rsidP="002D07B2">
      <w:pPr>
        <w:spacing w:after="120" w:line="240" w:lineRule="auto"/>
        <w:ind w:left="510"/>
        <w:jc w:val="lowKashida"/>
        <w:rPr>
          <w:rFonts w:asciiTheme="majorBidi" w:hAnsiTheme="majorBidi" w:cstheme="majorBidi"/>
          <w:b/>
          <w:bCs/>
          <w:sz w:val="18"/>
          <w:szCs w:val="18"/>
          <w:rtl/>
        </w:rPr>
      </w:pPr>
      <w:r w:rsidRPr="002D07B2">
        <w:rPr>
          <w:rFonts w:asciiTheme="majorBidi" w:hAnsiTheme="majorBidi" w:cstheme="majorBidi"/>
          <w:b/>
          <w:bCs/>
          <w:sz w:val="18"/>
          <w:szCs w:val="18"/>
          <w:rtl/>
          <w:lang w:bidi="ar-EG"/>
        </w:rPr>
        <w:t>عبد الرحمن بن يحيى المعلمي اليماني, دار الراية للنشر والتوزيع, 1417هـ.</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(علم طبقات المحدثين: أهميته وفوائده) </w:t>
      </w:r>
    </w:p>
    <w:p w:rsidR="002D07B2" w:rsidRPr="002D07B2" w:rsidRDefault="002D07B2" w:rsidP="002D07B2">
      <w:pPr>
        <w:spacing w:after="120" w:line="240" w:lineRule="auto"/>
        <w:ind w:left="227" w:firstLine="283"/>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أسعد سالم يتم، مكتبة الرشد, 1994م.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(تاريخ خليفة بن خياط)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lastRenderedPageBreak/>
        <w:t xml:space="preserve">(الطبقات) </w:t>
      </w:r>
    </w:p>
    <w:p w:rsidR="002D07B2" w:rsidRPr="002D07B2" w:rsidRDefault="002D07B2" w:rsidP="002D07B2">
      <w:pPr>
        <w:spacing w:after="120" w:line="240" w:lineRule="auto"/>
        <w:ind w:left="227" w:firstLine="283"/>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خليفة بن خياط الشيباني، الرياض، دار طيبة،1982م.</w:t>
      </w:r>
    </w:p>
    <w:p w:rsidR="002D07B2" w:rsidRPr="002D07B2" w:rsidRDefault="002D07B2" w:rsidP="002D07B2">
      <w:pPr>
        <w:numPr>
          <w:ilvl w:val="0"/>
          <w:numId w:val="1"/>
        </w:numPr>
        <w:spacing w:after="120" w:line="240" w:lineRule="auto"/>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(التاريخ الكبير) </w:t>
      </w:r>
    </w:p>
    <w:p w:rsidR="002D07B2" w:rsidRPr="002D07B2" w:rsidRDefault="002D07B2" w:rsidP="002D07B2">
      <w:pPr>
        <w:spacing w:after="120" w:line="240" w:lineRule="auto"/>
        <w:ind w:left="510"/>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عبد الله بن اسماعيل بن ابراهيم البخاري، بيروت، دار الكتب العلمية، 1884م.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(الجرح والتعديل)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(مناهج المحدِّثين في</w:t>
      </w:r>
      <w:r w:rsidRPr="002D07B2">
        <w:rPr>
          <w:rFonts w:asciiTheme="majorBidi" w:hAnsiTheme="majorBidi" w:cstheme="majorBidi"/>
          <w:b/>
          <w:bCs/>
          <w:sz w:val="18"/>
          <w:szCs w:val="18"/>
          <w:lang w:bidi="ar-EG"/>
        </w:rPr>
        <w:t xml:space="preserve"> </w:t>
      </w:r>
      <w:r w:rsidRPr="002D07B2">
        <w:rPr>
          <w:rFonts w:asciiTheme="majorBidi" w:hAnsiTheme="majorBidi" w:cstheme="majorBidi"/>
          <w:b/>
          <w:bCs/>
          <w:sz w:val="18"/>
          <w:szCs w:val="18"/>
          <w:rtl/>
          <w:lang w:bidi="ar-EG"/>
        </w:rPr>
        <w:t xml:space="preserve">رواية الحديث بالمعنى)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عبد الرزاق بن خليفة الشايجي، بيروت، دار ابن حزم للطباعة والنشر، 1419هـ.</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(الضوء اللامع المبين عن مناهج المحدثين) </w:t>
      </w:r>
    </w:p>
    <w:p w:rsidR="002D07B2" w:rsidRPr="002D07B2" w:rsidRDefault="002D07B2" w:rsidP="002D07B2">
      <w:pPr>
        <w:spacing w:after="120" w:line="240" w:lineRule="auto"/>
        <w:ind w:left="227" w:firstLine="283"/>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أحمد محرم الشيخ ناجي, مطبعة الصفا والمروة, 2001م.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(من روى عن أبيه عن جده)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(الرواة من الأخوة والأخوات)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(الكنى والأسماء) </w:t>
      </w:r>
    </w:p>
    <w:p w:rsidR="002D07B2" w:rsidRPr="002D07B2" w:rsidRDefault="002D07B2" w:rsidP="002D07B2">
      <w:pPr>
        <w:spacing w:after="120" w:line="240" w:lineRule="auto"/>
        <w:ind w:left="227" w:firstLine="283"/>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محمد بن أحمد الدولابي،حيدر آباد، دائرة المعارف النظامية، 1322هـ.</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(طبقات الحنابلة)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محمد بن محمد بن الحسين البغدادي أبو يعلى</w:t>
      </w:r>
      <w:r w:rsidRPr="002D07B2">
        <w:rPr>
          <w:rFonts w:asciiTheme="majorBidi" w:hAnsiTheme="majorBidi" w:cstheme="majorBidi"/>
          <w:b/>
          <w:bCs/>
          <w:sz w:val="18"/>
          <w:szCs w:val="18"/>
          <w:lang w:bidi="ar-EG"/>
        </w:rPr>
        <w:t xml:space="preserve"> </w:t>
      </w:r>
      <w:r w:rsidRPr="002D07B2">
        <w:rPr>
          <w:rFonts w:asciiTheme="majorBidi" w:hAnsiTheme="majorBidi" w:cstheme="majorBidi"/>
          <w:b/>
          <w:bCs/>
          <w:sz w:val="18"/>
          <w:szCs w:val="18"/>
          <w:rtl/>
          <w:lang w:bidi="ar-EG"/>
        </w:rPr>
        <w:t>الحنبلي، مطبعة السّنة المحمدية، 1371هـ.</w:t>
      </w:r>
    </w:p>
    <w:p w:rsidR="002D07B2" w:rsidRPr="002D07B2" w:rsidRDefault="002D07B2" w:rsidP="002D07B2">
      <w:pPr>
        <w:numPr>
          <w:ilvl w:val="0"/>
          <w:numId w:val="1"/>
        </w:numPr>
        <w:spacing w:after="120" w:line="240" w:lineRule="auto"/>
        <w:jc w:val="lowKashida"/>
        <w:rPr>
          <w:rFonts w:asciiTheme="majorBidi" w:hAnsiTheme="majorBidi" w:cstheme="majorBidi"/>
          <w:b/>
          <w:bCs/>
          <w:sz w:val="18"/>
          <w:szCs w:val="18"/>
          <w:lang w:bidi="ar-EG"/>
        </w:rPr>
      </w:pPr>
      <w:r w:rsidRPr="002D07B2">
        <w:rPr>
          <w:rFonts w:asciiTheme="majorBidi" w:hAnsiTheme="majorBidi" w:cstheme="majorBidi"/>
          <w:b/>
          <w:bCs/>
          <w:sz w:val="18"/>
          <w:szCs w:val="18"/>
          <w:rtl/>
          <w:lang w:bidi="ar-EG"/>
        </w:rPr>
        <w:t xml:space="preserve">(الطبقات الكبرى) </w:t>
      </w:r>
    </w:p>
    <w:p w:rsidR="002D07B2" w:rsidRPr="002D07B2" w:rsidRDefault="002D07B2" w:rsidP="002D07B2">
      <w:pPr>
        <w:spacing w:after="120" w:line="240" w:lineRule="auto"/>
        <w:ind w:left="510"/>
        <w:jc w:val="lowKashida"/>
        <w:rPr>
          <w:rFonts w:asciiTheme="majorBidi" w:hAnsiTheme="majorBidi" w:cstheme="majorBidi"/>
          <w:b/>
          <w:bCs/>
          <w:sz w:val="18"/>
          <w:szCs w:val="18"/>
          <w:rtl/>
          <w:lang w:bidi="ar-EG"/>
        </w:rPr>
      </w:pPr>
      <w:r w:rsidRPr="002D07B2">
        <w:rPr>
          <w:rFonts w:asciiTheme="majorBidi" w:hAnsiTheme="majorBidi" w:cstheme="majorBidi"/>
          <w:b/>
          <w:bCs/>
          <w:sz w:val="18"/>
          <w:szCs w:val="18"/>
          <w:rtl/>
          <w:lang w:bidi="ar-EG"/>
        </w:rPr>
        <w:t>ابن سعد محمد بن سعد، تحقيق: إحسان عباس، دار بيروت للطباعة والنشر، 1405هـ.</w:t>
      </w:r>
      <w:r w:rsidRPr="002D07B2">
        <w:rPr>
          <w:rFonts w:asciiTheme="majorBidi" w:hAnsiTheme="majorBidi" w:cstheme="majorBidi"/>
          <w:b/>
          <w:bCs/>
          <w:sz w:val="18"/>
          <w:szCs w:val="18"/>
          <w:lang w:bidi="ar-EG"/>
        </w:rPr>
        <w:t xml:space="preserve"> </w:t>
      </w:r>
    </w:p>
    <w:p w:rsidR="002D07B2" w:rsidRDefault="002D07B2" w:rsidP="0063734F">
      <w:pPr>
        <w:rPr>
          <w:rtl/>
          <w:lang w:bidi="ar-EG"/>
        </w:rPr>
        <w:sectPr w:rsidR="002D07B2" w:rsidSect="002D07B2">
          <w:type w:val="continuous"/>
          <w:pgSz w:w="11906" w:h="16838"/>
          <w:pgMar w:top="1440" w:right="1440" w:bottom="1440" w:left="1440" w:header="720" w:footer="720" w:gutter="0"/>
          <w:cols w:num="2" w:space="720"/>
          <w:bidi/>
          <w:rtlGutter/>
          <w:docGrid w:linePitch="360"/>
        </w:sectPr>
      </w:pPr>
    </w:p>
    <w:p w:rsidR="0063734F" w:rsidRDefault="0063734F" w:rsidP="0063734F">
      <w:pPr>
        <w:rPr>
          <w:lang w:bidi="ar-EG"/>
        </w:rPr>
      </w:pPr>
    </w:p>
    <w:sectPr w:rsidR="0063734F" w:rsidSect="002D07B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3734F"/>
    <w:rsid w:val="002D07B2"/>
    <w:rsid w:val="005B5587"/>
    <w:rsid w:val="0063734F"/>
    <w:rsid w:val="007E639D"/>
    <w:rsid w:val="00835EB1"/>
    <w:rsid w:val="00B337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3734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3734F"/>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373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D07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2013-06-13T23:35:00Z</dcterms:created>
  <dcterms:modified xsi:type="dcterms:W3CDTF">2013-06-16T11:55:00Z</dcterms:modified>
</cp:coreProperties>
</file>