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BE" w:rsidRDefault="00D102BE" w:rsidP="00D102BE">
      <w:pPr>
        <w:jc w:val="center"/>
        <w:rPr>
          <w:rFonts w:ascii="Calibri" w:eastAsia="Calibri" w:hAnsi="Calibri" w:cs="AGA Rasheeq Bold"/>
          <w:sz w:val="48"/>
          <w:szCs w:val="48"/>
          <w:rtl/>
        </w:rPr>
      </w:pPr>
      <w:r w:rsidRPr="00D102BE">
        <w:rPr>
          <w:rFonts w:ascii="Calibri" w:eastAsia="Calibri" w:hAnsi="Calibri" w:cs="AGA Rasheeq Bold" w:hint="cs"/>
          <w:sz w:val="48"/>
          <w:szCs w:val="48"/>
          <w:rtl/>
        </w:rPr>
        <w:t xml:space="preserve">علم تاريخ الرواة ليس من فروعه </w:t>
      </w:r>
    </w:p>
    <w:p w:rsidR="00752D19" w:rsidRPr="00D102BE" w:rsidRDefault="00D102BE" w:rsidP="00D102BE">
      <w:pPr>
        <w:jc w:val="center"/>
        <w:rPr>
          <w:sz w:val="48"/>
          <w:szCs w:val="48"/>
          <w:rtl/>
        </w:rPr>
      </w:pPr>
      <w:r w:rsidRPr="00D102BE">
        <w:rPr>
          <w:rFonts w:ascii="Calibri" w:eastAsia="Calibri" w:hAnsi="Calibri" w:cs="AGA Rasheeq Bold" w:hint="cs"/>
          <w:sz w:val="48"/>
          <w:szCs w:val="48"/>
          <w:rtl/>
        </w:rPr>
        <w:t>علم الجرح والتعديل</w:t>
      </w:r>
    </w:p>
    <w:p w:rsidR="00D102BE" w:rsidRPr="00BB1330" w:rsidRDefault="00D102BE" w:rsidP="00D102B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D102BE" w:rsidRDefault="00D102BE" w:rsidP="00DF547D">
      <w:pPr>
        <w:pStyle w:val="Author"/>
        <w:bidi/>
        <w:rPr>
          <w:rFonts w:eastAsia="Times New Roman"/>
        </w:rPr>
      </w:pPr>
      <w:r>
        <w:rPr>
          <w:rFonts w:hint="cs"/>
          <w:i/>
          <w:iCs/>
          <w:rtl/>
        </w:rPr>
        <w:t xml:space="preserve">إعداد / </w:t>
      </w:r>
      <w:r w:rsidR="00DF547D" w:rsidRPr="00DF547D">
        <w:rPr>
          <w:rFonts w:hint="cs"/>
          <w:i/>
          <w:iCs/>
          <w:rtl/>
        </w:rPr>
        <w:t>د. وليد علي الطنطاوي</w:t>
      </w:r>
    </w:p>
    <w:p w:rsidR="00D102BE" w:rsidRDefault="00D102BE" w:rsidP="00D102BE">
      <w:pPr>
        <w:pStyle w:val="Affiliation"/>
        <w:bidi/>
        <w:rPr>
          <w:rFonts w:eastAsia="Times New Roman"/>
        </w:rPr>
      </w:pPr>
      <w:r>
        <w:rPr>
          <w:rFonts w:hint="cs"/>
          <w:i/>
          <w:iCs/>
          <w:rtl/>
        </w:rPr>
        <w:t>قسم الدعوة وأصول الدين</w:t>
      </w:r>
    </w:p>
    <w:p w:rsidR="00D102BE" w:rsidRDefault="00D102BE" w:rsidP="00D102B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D102BE" w:rsidRDefault="00D102BE" w:rsidP="00D102BE">
      <w:pPr>
        <w:pStyle w:val="Affiliation"/>
        <w:bidi/>
        <w:rPr>
          <w:rtl/>
        </w:rPr>
      </w:pPr>
      <w:r>
        <w:rPr>
          <w:rFonts w:hint="cs"/>
          <w:rtl/>
        </w:rPr>
        <w:t>شاه علم - ماليزيا</w:t>
      </w:r>
    </w:p>
    <w:p w:rsidR="00D102BE" w:rsidRDefault="00DF547D" w:rsidP="00D102BE">
      <w:pPr>
        <w:spacing w:line="240" w:lineRule="auto"/>
        <w:jc w:val="center"/>
        <w:rPr>
          <w:rFonts w:asciiTheme="majorBidi" w:hAnsiTheme="majorBidi" w:cstheme="majorBidi"/>
          <w:b/>
          <w:bCs/>
          <w:sz w:val="18"/>
          <w:szCs w:val="18"/>
          <w:rtl/>
          <w:lang w:bidi="ar-EG"/>
        </w:rPr>
      </w:pPr>
      <w:r w:rsidRPr="00DF547D">
        <w:rPr>
          <w:rFonts w:ascii="Times New Roman" w:eastAsia="SimSun" w:hAnsi="Times New Roman" w:cs="Times New Roman"/>
          <w:i/>
          <w:iCs/>
          <w:sz w:val="20"/>
          <w:szCs w:val="20"/>
          <w:lang w:eastAsia="zh-CN"/>
        </w:rPr>
        <w:t>waleed.eltantawy@mediu.edu.my</w:t>
      </w:r>
    </w:p>
    <w:p w:rsidR="00D102BE" w:rsidRDefault="00D102BE" w:rsidP="00D102BE">
      <w:pPr>
        <w:pStyle w:val="a3"/>
        <w:jc w:val="right"/>
        <w:rPr>
          <w:rFonts w:asciiTheme="majorBidi" w:hAnsiTheme="majorBidi" w:cstheme="majorBidi"/>
          <w:b/>
          <w:bCs/>
          <w:sz w:val="18"/>
          <w:szCs w:val="18"/>
          <w:rtl/>
        </w:rPr>
        <w:sectPr w:rsidR="00D102BE" w:rsidSect="007E639D">
          <w:pgSz w:w="11906" w:h="16838"/>
          <w:pgMar w:top="1440" w:right="1440" w:bottom="1440" w:left="1440" w:header="720" w:footer="720" w:gutter="0"/>
          <w:cols w:space="720"/>
          <w:bidi/>
          <w:rtlGutter/>
          <w:docGrid w:linePitch="360"/>
        </w:sectPr>
      </w:pPr>
    </w:p>
    <w:p w:rsidR="00D102BE" w:rsidRPr="00D102BE" w:rsidRDefault="00D102BE" w:rsidP="00D102BE">
      <w:pPr>
        <w:pStyle w:val="a3"/>
        <w:jc w:val="right"/>
        <w:rPr>
          <w:rFonts w:asciiTheme="majorBidi" w:hAnsiTheme="majorBidi" w:cstheme="majorBidi"/>
          <w:b/>
          <w:bCs/>
          <w:sz w:val="18"/>
          <w:szCs w:val="18"/>
          <w:rtl/>
        </w:rPr>
      </w:pPr>
      <w:r w:rsidRPr="00D102BE">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علم تاريخ الرواة ليس من فروعه علم الجرح والتعديل</w:t>
      </w:r>
      <w:r w:rsidRPr="00D102BE">
        <w:rPr>
          <w:rFonts w:asciiTheme="majorBidi" w:hAnsiTheme="majorBidi" w:cstheme="majorBidi"/>
          <w:b/>
          <w:bCs/>
          <w:sz w:val="18"/>
          <w:szCs w:val="18"/>
        </w:rPr>
        <w:br/>
      </w:r>
      <w:r w:rsidRPr="00D102B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الإسناد</w:t>
      </w:r>
      <w:r w:rsidRPr="00D102BE">
        <w:rPr>
          <w:rFonts w:asciiTheme="majorBidi" w:hAnsiTheme="majorBidi" w:cstheme="majorBidi"/>
          <w:b/>
          <w:bCs/>
          <w:sz w:val="18"/>
          <w:szCs w:val="18"/>
          <w:rtl/>
        </w:rPr>
        <w:t xml:space="preserve">، </w:t>
      </w:r>
      <w:r>
        <w:rPr>
          <w:rFonts w:asciiTheme="majorBidi" w:hAnsiTheme="majorBidi" w:cstheme="majorBidi" w:hint="cs"/>
          <w:b/>
          <w:bCs/>
          <w:sz w:val="18"/>
          <w:szCs w:val="18"/>
          <w:rtl/>
        </w:rPr>
        <w:t>الرواة</w:t>
      </w:r>
      <w:r w:rsidRPr="00D102BE">
        <w:rPr>
          <w:rFonts w:asciiTheme="majorBidi" w:hAnsiTheme="majorBidi" w:cstheme="majorBidi"/>
          <w:b/>
          <w:bCs/>
          <w:sz w:val="18"/>
          <w:szCs w:val="18"/>
          <w:rtl/>
        </w:rPr>
        <w:t xml:space="preserve"> ، </w:t>
      </w:r>
      <w:r>
        <w:rPr>
          <w:rFonts w:asciiTheme="majorBidi" w:hAnsiTheme="majorBidi" w:cstheme="majorBidi" w:hint="cs"/>
          <w:b/>
          <w:bCs/>
          <w:sz w:val="18"/>
          <w:szCs w:val="18"/>
          <w:rtl/>
        </w:rPr>
        <w:t>علوم</w:t>
      </w:r>
      <w:r w:rsidRPr="00D102BE">
        <w:rPr>
          <w:rFonts w:asciiTheme="majorBidi" w:hAnsiTheme="majorBidi" w:cstheme="majorBidi"/>
          <w:b/>
          <w:bCs/>
          <w:sz w:val="18"/>
          <w:szCs w:val="18"/>
          <w:rtl/>
        </w:rPr>
        <w:t xml:space="preserve"> </w:t>
      </w:r>
    </w:p>
    <w:p w:rsidR="00D102BE" w:rsidRPr="00D102BE" w:rsidRDefault="00D102BE" w:rsidP="00D102BE">
      <w:pPr>
        <w:pStyle w:val="a3"/>
        <w:jc w:val="center"/>
        <w:rPr>
          <w:rFonts w:asciiTheme="majorBidi" w:hAnsiTheme="majorBidi" w:cstheme="majorBidi"/>
          <w:b/>
          <w:bCs/>
          <w:sz w:val="18"/>
          <w:szCs w:val="18"/>
          <w:lang w:bidi="ar-EG"/>
        </w:rPr>
      </w:pPr>
      <w:r w:rsidRPr="00D102BE">
        <w:rPr>
          <w:rFonts w:asciiTheme="majorBidi" w:hAnsiTheme="majorBidi" w:cstheme="majorBidi"/>
          <w:b/>
          <w:bCs/>
          <w:sz w:val="18"/>
          <w:szCs w:val="18"/>
          <w:rtl/>
        </w:rPr>
        <w:t>المقدمة</w:t>
      </w:r>
      <w:r w:rsidRPr="00D102BE">
        <w:rPr>
          <w:rFonts w:asciiTheme="majorBidi" w:hAnsiTheme="majorBidi" w:cstheme="majorBidi"/>
          <w:b/>
          <w:bCs/>
          <w:sz w:val="18"/>
          <w:szCs w:val="18"/>
          <w:lang w:bidi="ar-EG"/>
        </w:rPr>
        <w:t>.I</w:t>
      </w:r>
    </w:p>
    <w:p w:rsidR="00D102BE" w:rsidRPr="00D102BE" w:rsidRDefault="00D102BE" w:rsidP="00D102BE">
      <w:pPr>
        <w:pStyle w:val="a3"/>
        <w:jc w:val="right"/>
        <w:rPr>
          <w:rFonts w:asciiTheme="majorBidi" w:hAnsiTheme="majorBidi" w:cstheme="majorBidi"/>
          <w:b/>
          <w:bCs/>
          <w:sz w:val="18"/>
          <w:szCs w:val="18"/>
          <w:rtl/>
        </w:rPr>
      </w:pPr>
      <w:r w:rsidRPr="00D102BE">
        <w:rPr>
          <w:rFonts w:asciiTheme="majorBidi" w:hAnsiTheme="majorBidi" w:cstheme="majorBidi"/>
          <w:b/>
          <w:bCs/>
          <w:sz w:val="18"/>
          <w:szCs w:val="18"/>
        </w:rPr>
        <w:br/>
      </w:r>
      <w:r w:rsidRPr="00D102B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علم تاريخ الرواة ليس من فروعه علم الجرح والتعديل</w:t>
      </w:r>
    </w:p>
    <w:p w:rsidR="00D102BE" w:rsidRPr="00D102BE" w:rsidRDefault="00D102BE" w:rsidP="00D102BE">
      <w:pPr>
        <w:pStyle w:val="a3"/>
        <w:jc w:val="center"/>
        <w:rPr>
          <w:rFonts w:asciiTheme="majorBidi" w:hAnsiTheme="majorBidi" w:cstheme="majorBidi"/>
          <w:b/>
          <w:bCs/>
          <w:sz w:val="18"/>
          <w:szCs w:val="18"/>
        </w:rPr>
      </w:pPr>
      <w:r w:rsidRPr="00D102BE">
        <w:rPr>
          <w:rFonts w:asciiTheme="majorBidi" w:hAnsiTheme="majorBidi" w:cstheme="majorBidi"/>
          <w:b/>
          <w:bCs/>
          <w:sz w:val="18"/>
          <w:szCs w:val="18"/>
        </w:rPr>
        <w:br/>
      </w:r>
      <w:r w:rsidRPr="00D102BE">
        <w:rPr>
          <w:rFonts w:asciiTheme="majorBidi" w:hAnsiTheme="majorBidi" w:cstheme="majorBidi"/>
          <w:b/>
          <w:bCs/>
          <w:sz w:val="18"/>
          <w:szCs w:val="18"/>
          <w:rtl/>
        </w:rPr>
        <w:t>.عنوان المقال</w:t>
      </w:r>
      <w:r w:rsidRPr="00D102BE">
        <w:rPr>
          <w:rFonts w:asciiTheme="majorBidi" w:hAnsiTheme="majorBidi" w:cstheme="majorBidi"/>
          <w:b/>
          <w:bCs/>
          <w:sz w:val="18"/>
          <w:szCs w:val="18"/>
        </w:rPr>
        <w:t>II</w:t>
      </w:r>
    </w:p>
    <w:p w:rsidR="00D102BE" w:rsidRPr="00D102BE" w:rsidRDefault="00D102BE" w:rsidP="00D102BE">
      <w:pPr>
        <w:pStyle w:val="a3"/>
        <w:bidi/>
        <w:spacing w:before="0" w:beforeAutospacing="0" w:after="120" w:afterAutospacing="0"/>
        <w:jc w:val="lowKashida"/>
        <w:rPr>
          <w:rFonts w:asciiTheme="majorBidi" w:hAnsiTheme="majorBidi" w:cstheme="majorBidi"/>
          <w:b/>
          <w:bCs/>
          <w:sz w:val="18"/>
          <w:szCs w:val="18"/>
        </w:rPr>
      </w:pPr>
      <w:r w:rsidRPr="00D102BE">
        <w:rPr>
          <w:rFonts w:asciiTheme="majorBidi" w:hAnsiTheme="majorBidi" w:cstheme="majorBidi"/>
          <w:b/>
          <w:bCs/>
          <w:sz w:val="18"/>
          <w:szCs w:val="18"/>
          <w:rtl/>
        </w:rPr>
        <w:t>هذا الإسناد الذي بيّنّا فيه أهميته بالنسبة للحديث، وتَعِبَ الرواة في تحصيله بالرحلة وغيره كان سببًا في نشأة علم رجال الحديث، أو علوم رجال الحديث؛ فالإسناد هو رجال الحديث، والأسانيد تكون رجال الحديث، وأنشأ العلماء أو النقاد في ذلك علومًا لخدمة الحديث، أو إسناد الحديث في هذا المجال أي: لبيان أحوال، أو تاريخ رجال الحديث.</w:t>
      </w:r>
    </w:p>
    <w:p w:rsidR="00D102BE" w:rsidRPr="00D102BE" w:rsidRDefault="00D102BE" w:rsidP="00D102BE">
      <w:pPr>
        <w:pStyle w:val="a3"/>
        <w:bidi/>
        <w:spacing w:before="0" w:beforeAutospacing="0" w:after="120" w:afterAutospacing="0"/>
        <w:jc w:val="lowKashida"/>
        <w:rPr>
          <w:rFonts w:asciiTheme="majorBidi" w:hAnsiTheme="majorBidi" w:cstheme="majorBidi"/>
          <w:b/>
          <w:bCs/>
          <w:sz w:val="18"/>
          <w:szCs w:val="18"/>
        </w:rPr>
      </w:pPr>
      <w:r w:rsidRPr="00D102BE">
        <w:rPr>
          <w:rFonts w:asciiTheme="majorBidi" w:hAnsiTheme="majorBidi" w:cstheme="majorBidi"/>
          <w:b/>
          <w:bCs/>
          <w:sz w:val="18"/>
          <w:szCs w:val="18"/>
          <w:rtl/>
        </w:rPr>
        <w:t>فعلوم الرجال هي المباحث الكلية المُعَرِّفة بأحوال الرواة في الأسانيد من حيث قبولهم وردّهم، وسائر ما يتصل بهم مما يوصل إلى ذلك، وقلنا ما يوصل ذلك؛ لأن معرفة قبول الراوي وردِّه لا تتمّ إلا بدراسات كثيرة تحدّد شخصه، وزمنه، وشيوخه، وتلامذته، وضبط اسمه ونسبه وكنيته ولقبه، وتمييز كل ذلك عمَّا قد يشتبه به، وقد تجاوز من قال: "هو علم تاريخ الرواة ومن فروعه علم الجرح والتعديل".</w:t>
      </w:r>
    </w:p>
    <w:p w:rsidR="00D102BE" w:rsidRPr="00D102BE" w:rsidRDefault="00D102BE" w:rsidP="00D102BE">
      <w:pPr>
        <w:pStyle w:val="a3"/>
        <w:bidi/>
        <w:spacing w:before="0" w:beforeAutospacing="0" w:after="120" w:afterAutospacing="0"/>
        <w:jc w:val="lowKashida"/>
        <w:rPr>
          <w:rFonts w:asciiTheme="majorBidi" w:hAnsiTheme="majorBidi" w:cstheme="majorBidi"/>
          <w:b/>
          <w:bCs/>
          <w:sz w:val="18"/>
          <w:szCs w:val="18"/>
        </w:rPr>
      </w:pPr>
      <w:r w:rsidRPr="00D102BE">
        <w:rPr>
          <w:rFonts w:asciiTheme="majorBidi" w:hAnsiTheme="majorBidi" w:cstheme="majorBidi"/>
          <w:b/>
          <w:bCs/>
          <w:sz w:val="18"/>
          <w:szCs w:val="18"/>
          <w:rtl/>
        </w:rPr>
        <w:t>ولم يحرر في هذا تعريف علم الرجال، فإن من مهماته علومًا كثيرة في أسماء الرواة وغيرها -يعني: علم الجرح والتعديل من مهماته علومًا كثيرة في أسماء الرواة وغيرها، لا تدخل في التاريخ، وقد بحث أئمة الحديث أحوال الرواة جرحًا وتعديلًا، وخصُّوا جوانبها بعلوم كالجرح والتعديل، ومعرفة الصحابة، والتدليس والمدلسين، ومن اختلط منهم، وغير ذلك مما هو معروف، لكن لما أن الحكم على الراوي يتوقف كما بيّنّا على معرفة عينه، وتمييز شخصه عن غيره بغاية الدقة لما قرَّر الحكماء من قبل: الحكم على الشيء فرع من تصوره، لما كان الأمر كذلك فقد بحث المحدثون الوسائل التي تُحقق ذلك من جميع الجوانب، وجعلوا دراسة كل جانب علمًا ألَّفوا فيه المؤلفات، وهو ما نسميه بعلوم الرواة من حيث التاريخ.</w:t>
      </w:r>
    </w:p>
    <w:p w:rsidR="00D102BE" w:rsidRPr="00D102BE" w:rsidRDefault="00D102BE" w:rsidP="00D102BE">
      <w:pPr>
        <w:pStyle w:val="a3"/>
        <w:bidi/>
        <w:spacing w:before="0" w:beforeAutospacing="0" w:after="120" w:afterAutospacing="0"/>
        <w:jc w:val="lowKashida"/>
        <w:rPr>
          <w:rFonts w:asciiTheme="majorBidi" w:hAnsiTheme="majorBidi" w:cstheme="majorBidi"/>
          <w:b/>
          <w:bCs/>
          <w:sz w:val="18"/>
          <w:szCs w:val="18"/>
        </w:rPr>
      </w:pPr>
      <w:r w:rsidRPr="00D102BE">
        <w:rPr>
          <w:rFonts w:asciiTheme="majorBidi" w:hAnsiTheme="majorBidi" w:cstheme="majorBidi"/>
          <w:b/>
          <w:bCs/>
          <w:sz w:val="18"/>
          <w:szCs w:val="18"/>
          <w:rtl/>
        </w:rPr>
        <w:t>والجرح والتعديل مترتّب على علوم الرواة وما تُقدِّمه هذه العلوم من حيث التاريخ. إذًا علم تاريخ الرواة ليس من فروعه علم الجرح والتعديل، وإنما هو مبنيٌّ عليه، أو يمكننا أن نقول: إن علم رجال الحديث، أو علم تاريخ رجال الحديث إنما هو ممهِّد للجرح والتعديل؛ لأن الجرح والتعديل ينبني على ما يقدمه هذا العلم.</w:t>
      </w:r>
    </w:p>
    <w:p w:rsidR="00D102BE" w:rsidRPr="00D102BE" w:rsidRDefault="00D102BE" w:rsidP="00D102BE">
      <w:pPr>
        <w:pStyle w:val="a4"/>
        <w:spacing w:line="240" w:lineRule="auto"/>
        <w:ind w:left="373"/>
        <w:jc w:val="center"/>
        <w:rPr>
          <w:rFonts w:asciiTheme="majorBidi" w:hAnsiTheme="majorBidi" w:cstheme="majorBidi"/>
          <w:b/>
          <w:bCs/>
          <w:sz w:val="18"/>
          <w:szCs w:val="18"/>
          <w:rtl/>
        </w:rPr>
      </w:pPr>
      <w:r w:rsidRPr="00D102BE">
        <w:rPr>
          <w:rFonts w:asciiTheme="majorBidi" w:hAnsiTheme="majorBidi" w:cstheme="majorBidi"/>
          <w:b/>
          <w:bCs/>
          <w:sz w:val="18"/>
          <w:szCs w:val="18"/>
          <w:rtl/>
        </w:rPr>
        <w:t>المراجع والمصادر</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(علم رجال الحديث) </w:t>
      </w:r>
    </w:p>
    <w:p w:rsidR="00D102BE" w:rsidRPr="00D102BE" w:rsidRDefault="00D102BE" w:rsidP="00D102BE">
      <w:pPr>
        <w:spacing w:after="120" w:line="240" w:lineRule="auto"/>
        <w:ind w:left="227" w:firstLine="283"/>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lastRenderedPageBreak/>
        <w:t>تقي الدين الندوي المظاهري، المدينة المنورة، مكتبة الإيمان، 1987م.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rPr>
      </w:pPr>
      <w:r w:rsidRPr="00D102BE">
        <w:rPr>
          <w:rFonts w:asciiTheme="majorBidi" w:hAnsiTheme="majorBidi" w:cstheme="majorBidi"/>
          <w:b/>
          <w:bCs/>
          <w:sz w:val="18"/>
          <w:szCs w:val="18"/>
          <w:rtl/>
          <w:lang w:bidi="ar-EG"/>
        </w:rPr>
        <w:t xml:space="preserve">(علم الرجال وأهميته) </w:t>
      </w:r>
    </w:p>
    <w:p w:rsidR="00D102BE" w:rsidRPr="00D102BE" w:rsidRDefault="00D102BE" w:rsidP="00D102BE">
      <w:pPr>
        <w:spacing w:after="120" w:line="240" w:lineRule="auto"/>
        <w:ind w:left="510"/>
        <w:jc w:val="lowKashida"/>
        <w:rPr>
          <w:rFonts w:asciiTheme="majorBidi" w:hAnsiTheme="majorBidi" w:cstheme="majorBidi"/>
          <w:b/>
          <w:bCs/>
          <w:sz w:val="18"/>
          <w:szCs w:val="18"/>
          <w:rtl/>
        </w:rPr>
      </w:pPr>
      <w:r w:rsidRPr="00D102BE">
        <w:rPr>
          <w:rFonts w:asciiTheme="majorBidi" w:hAnsiTheme="majorBidi" w:cstheme="majorBidi"/>
          <w:b/>
          <w:bCs/>
          <w:sz w:val="18"/>
          <w:szCs w:val="18"/>
          <w:rtl/>
          <w:lang w:bidi="ar-EG"/>
        </w:rPr>
        <w:t>عبد الرحمن بن يحيى المعلمي اليماني, دار الراية للنشر والتوزيع, 1417هـ.</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(علم طبقات المحدثين: أهميته وفوائده) </w:t>
      </w:r>
    </w:p>
    <w:p w:rsidR="00D102BE" w:rsidRPr="00D102BE" w:rsidRDefault="00D102BE" w:rsidP="00D102BE">
      <w:pPr>
        <w:spacing w:after="120" w:line="240" w:lineRule="auto"/>
        <w:ind w:left="227" w:firstLine="283"/>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أسعد سالم يتم، مكتبة الرشد, 1994م.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(تاريخ خليفة بن خياط) </w:t>
      </w:r>
    </w:p>
    <w:p w:rsidR="00D102BE" w:rsidRPr="00D102BE" w:rsidRDefault="00D102BE" w:rsidP="00D102BE">
      <w:pPr>
        <w:spacing w:after="120" w:line="240" w:lineRule="auto"/>
        <w:ind w:left="510"/>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(الطبقات) </w:t>
      </w:r>
    </w:p>
    <w:p w:rsidR="00D102BE" w:rsidRPr="00D102BE" w:rsidRDefault="00D102BE" w:rsidP="00D102BE">
      <w:pPr>
        <w:spacing w:after="120" w:line="240" w:lineRule="auto"/>
        <w:ind w:left="227" w:firstLine="283"/>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خليفة بن خياط الشيباني، الرياض، دار طيبة،1982م.</w:t>
      </w:r>
    </w:p>
    <w:p w:rsidR="00D102BE" w:rsidRPr="00D102BE" w:rsidRDefault="00D102BE" w:rsidP="00D102BE">
      <w:pPr>
        <w:numPr>
          <w:ilvl w:val="0"/>
          <w:numId w:val="1"/>
        </w:numPr>
        <w:spacing w:after="120" w:line="240" w:lineRule="auto"/>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(التاريخ الكبير) </w:t>
      </w:r>
    </w:p>
    <w:p w:rsidR="00D102BE" w:rsidRPr="00D102BE" w:rsidRDefault="00D102BE" w:rsidP="00D102BE">
      <w:pPr>
        <w:spacing w:after="120" w:line="240" w:lineRule="auto"/>
        <w:ind w:left="510"/>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عبد الله بن اسماعيل بن ابراهيم البخاري، بيروت، دار الكتب العلمية، 1884م.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(الجرح والتعديل) </w:t>
      </w:r>
    </w:p>
    <w:p w:rsidR="00D102BE" w:rsidRPr="00D102BE" w:rsidRDefault="00D102BE" w:rsidP="00D102BE">
      <w:pPr>
        <w:spacing w:after="120" w:line="240" w:lineRule="auto"/>
        <w:ind w:left="510"/>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(مناهج المحدِّثين في</w:t>
      </w:r>
      <w:r w:rsidRPr="00D102BE">
        <w:rPr>
          <w:rFonts w:asciiTheme="majorBidi" w:hAnsiTheme="majorBidi" w:cstheme="majorBidi"/>
          <w:b/>
          <w:bCs/>
          <w:sz w:val="18"/>
          <w:szCs w:val="18"/>
          <w:lang w:bidi="ar-EG"/>
        </w:rPr>
        <w:t xml:space="preserve"> </w:t>
      </w:r>
      <w:r w:rsidRPr="00D102BE">
        <w:rPr>
          <w:rFonts w:asciiTheme="majorBidi" w:hAnsiTheme="majorBidi" w:cstheme="majorBidi"/>
          <w:b/>
          <w:bCs/>
          <w:sz w:val="18"/>
          <w:szCs w:val="18"/>
          <w:rtl/>
          <w:lang w:bidi="ar-EG"/>
        </w:rPr>
        <w:t xml:space="preserve">رواية الحديث بالمعنى) </w:t>
      </w:r>
    </w:p>
    <w:p w:rsidR="00D102BE" w:rsidRPr="00D102BE" w:rsidRDefault="00D102BE" w:rsidP="00D102BE">
      <w:pPr>
        <w:spacing w:after="120" w:line="240" w:lineRule="auto"/>
        <w:ind w:left="510"/>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عبد الرزاق بن خليفة الشايجي، بيروت، دار ابن حزم للطباعة والنشر، 1419هـ.</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(الضوء اللامع المبين عن مناهج المحدثين) </w:t>
      </w:r>
    </w:p>
    <w:p w:rsidR="00D102BE" w:rsidRPr="00D102BE" w:rsidRDefault="00D102BE" w:rsidP="00D102BE">
      <w:pPr>
        <w:spacing w:after="120" w:line="240" w:lineRule="auto"/>
        <w:ind w:left="227" w:firstLine="283"/>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أحمد محرم الشيخ ناجي, مطبعة الصفا والمروة, 2001م.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(من روى عن أبيه عن جده) </w:t>
      </w:r>
    </w:p>
    <w:p w:rsidR="00D102BE" w:rsidRPr="00D102BE" w:rsidRDefault="00D102BE" w:rsidP="00D102BE">
      <w:pPr>
        <w:spacing w:after="120" w:line="240" w:lineRule="auto"/>
        <w:ind w:left="510"/>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(الرواة من الأخوة والأخوات) </w:t>
      </w:r>
    </w:p>
    <w:p w:rsidR="00D102BE" w:rsidRPr="00D102BE" w:rsidRDefault="00D102BE" w:rsidP="00D102BE">
      <w:pPr>
        <w:spacing w:after="120" w:line="240" w:lineRule="auto"/>
        <w:ind w:left="510"/>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(الكنى والأسماء) </w:t>
      </w:r>
    </w:p>
    <w:p w:rsidR="00D102BE" w:rsidRPr="00D102BE" w:rsidRDefault="00D102BE" w:rsidP="00D102BE">
      <w:pPr>
        <w:spacing w:after="120" w:line="240" w:lineRule="auto"/>
        <w:ind w:left="227" w:firstLine="283"/>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t>محمد بن أحمد الدولابي،حيدر آباد، دائرة المعارف النظامية، 1322هـ.</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(طبقات الحنابلة) </w:t>
      </w:r>
    </w:p>
    <w:p w:rsidR="00D102BE" w:rsidRPr="00D102BE" w:rsidRDefault="00D102BE" w:rsidP="00D102BE">
      <w:pPr>
        <w:spacing w:after="120" w:line="240" w:lineRule="auto"/>
        <w:ind w:left="510"/>
        <w:jc w:val="lowKashida"/>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lastRenderedPageBreak/>
        <w:t>محمد بن محمد بن الحسين البغدادي أبو يعلى</w:t>
      </w:r>
      <w:r w:rsidRPr="00D102BE">
        <w:rPr>
          <w:rFonts w:asciiTheme="majorBidi" w:hAnsiTheme="majorBidi" w:cstheme="majorBidi"/>
          <w:b/>
          <w:bCs/>
          <w:sz w:val="18"/>
          <w:szCs w:val="18"/>
          <w:lang w:bidi="ar-EG"/>
        </w:rPr>
        <w:t xml:space="preserve"> </w:t>
      </w:r>
      <w:r w:rsidRPr="00D102BE">
        <w:rPr>
          <w:rFonts w:asciiTheme="majorBidi" w:hAnsiTheme="majorBidi" w:cstheme="majorBidi"/>
          <w:b/>
          <w:bCs/>
          <w:sz w:val="18"/>
          <w:szCs w:val="18"/>
          <w:rtl/>
          <w:lang w:bidi="ar-EG"/>
        </w:rPr>
        <w:t>الحنبلي، مطبعة السّنة المحمدية، 1371هـ.</w:t>
      </w:r>
    </w:p>
    <w:p w:rsidR="00D102BE" w:rsidRPr="00D102BE" w:rsidRDefault="00D102BE" w:rsidP="00D102BE">
      <w:pPr>
        <w:numPr>
          <w:ilvl w:val="0"/>
          <w:numId w:val="1"/>
        </w:numPr>
        <w:spacing w:after="120" w:line="240" w:lineRule="auto"/>
        <w:jc w:val="lowKashida"/>
        <w:rPr>
          <w:rFonts w:asciiTheme="majorBidi" w:hAnsiTheme="majorBidi" w:cstheme="majorBidi"/>
          <w:b/>
          <w:bCs/>
          <w:sz w:val="18"/>
          <w:szCs w:val="18"/>
          <w:lang w:bidi="ar-EG"/>
        </w:rPr>
      </w:pPr>
      <w:r w:rsidRPr="00D102BE">
        <w:rPr>
          <w:rFonts w:asciiTheme="majorBidi" w:hAnsiTheme="majorBidi" w:cstheme="majorBidi"/>
          <w:b/>
          <w:bCs/>
          <w:sz w:val="18"/>
          <w:szCs w:val="18"/>
          <w:rtl/>
          <w:lang w:bidi="ar-EG"/>
        </w:rPr>
        <w:t xml:space="preserve">(الطبقات الكبرى) </w:t>
      </w:r>
    </w:p>
    <w:p w:rsidR="00D102BE" w:rsidRPr="00D102BE" w:rsidRDefault="00D102BE" w:rsidP="00D102BE">
      <w:pPr>
        <w:pStyle w:val="a4"/>
        <w:spacing w:line="240" w:lineRule="auto"/>
        <w:ind w:left="373" w:firstLine="193"/>
        <w:rPr>
          <w:rFonts w:asciiTheme="majorBidi" w:hAnsiTheme="majorBidi" w:cstheme="majorBidi"/>
          <w:b/>
          <w:bCs/>
          <w:sz w:val="18"/>
          <w:szCs w:val="18"/>
          <w:rtl/>
          <w:lang w:bidi="ar-EG"/>
        </w:rPr>
      </w:pPr>
      <w:r w:rsidRPr="00D102BE">
        <w:rPr>
          <w:rFonts w:asciiTheme="majorBidi" w:hAnsiTheme="majorBidi" w:cstheme="majorBidi"/>
          <w:b/>
          <w:bCs/>
          <w:sz w:val="18"/>
          <w:szCs w:val="18"/>
          <w:rtl/>
          <w:lang w:bidi="ar-EG"/>
        </w:rPr>
        <w:lastRenderedPageBreak/>
        <w:t>ابن سعد محمد بن سعد، تحقيق: إحسان عباس، دار بيروت للطباعة والنشر، 1405هـ.</w:t>
      </w:r>
    </w:p>
    <w:p w:rsidR="00D102BE" w:rsidRDefault="00D102BE" w:rsidP="00D102BE">
      <w:pPr>
        <w:rPr>
          <w:rtl/>
          <w:lang w:bidi="ar-EG"/>
        </w:rPr>
        <w:sectPr w:rsidR="00D102BE" w:rsidSect="00D102BE">
          <w:type w:val="continuous"/>
          <w:pgSz w:w="11906" w:h="16838"/>
          <w:pgMar w:top="1440" w:right="1440" w:bottom="1440" w:left="1440" w:header="720" w:footer="720" w:gutter="0"/>
          <w:cols w:num="2" w:space="720"/>
          <w:bidi/>
          <w:rtlGutter/>
          <w:docGrid w:linePitch="360"/>
        </w:sectPr>
      </w:pPr>
    </w:p>
    <w:p w:rsidR="00D102BE" w:rsidRPr="00D102BE" w:rsidRDefault="00D102BE" w:rsidP="00D102BE">
      <w:pPr>
        <w:rPr>
          <w:lang w:bidi="ar-EG"/>
        </w:rPr>
      </w:pPr>
    </w:p>
    <w:sectPr w:rsidR="00D102BE" w:rsidRPr="00D102BE" w:rsidSect="00D102B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102BE"/>
    <w:rsid w:val="002A799C"/>
    <w:rsid w:val="00752D19"/>
    <w:rsid w:val="007E639D"/>
    <w:rsid w:val="00CC603F"/>
    <w:rsid w:val="00D102BE"/>
    <w:rsid w:val="00DF54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D102B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102B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D102B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10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2013-06-13T17:21:00Z</dcterms:created>
  <dcterms:modified xsi:type="dcterms:W3CDTF">2013-06-16T11:51:00Z</dcterms:modified>
</cp:coreProperties>
</file>