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E43" w:rsidRDefault="00FB3B3B" w:rsidP="00FB3B3B">
      <w:pPr>
        <w:jc w:val="center"/>
        <w:rPr>
          <w:rFonts w:asciiTheme="majorBidi" w:hAnsiTheme="majorBidi" w:cstheme="majorBidi"/>
          <w:sz w:val="48"/>
          <w:szCs w:val="48"/>
          <w:rtl/>
        </w:rPr>
      </w:pPr>
      <w:r w:rsidRPr="00FB3B3B">
        <w:rPr>
          <w:rFonts w:asciiTheme="majorBidi" w:eastAsia="Calibri" w:hAnsiTheme="majorBidi" w:cstheme="majorBidi"/>
          <w:sz w:val="48"/>
          <w:szCs w:val="48"/>
          <w:rtl/>
        </w:rPr>
        <w:t>المكّيّ والمدنيّ</w:t>
      </w:r>
      <w:r w:rsidR="00E964D6">
        <w:rPr>
          <w:rFonts w:asciiTheme="majorBidi" w:eastAsia="Calibri" w:hAnsiTheme="majorBidi" w:cstheme="majorBidi" w:hint="cs"/>
          <w:sz w:val="48"/>
          <w:szCs w:val="48"/>
          <w:rtl/>
        </w:rPr>
        <w:t xml:space="preserve"> وما يندرج تحته</w:t>
      </w:r>
    </w:p>
    <w:p w:rsidR="00FB3B3B" w:rsidRPr="007E1CFD" w:rsidRDefault="00FB3B3B" w:rsidP="00FB3B3B">
      <w:pPr>
        <w:spacing w:line="500" w:lineRule="exact"/>
        <w:jc w:val="center"/>
        <w:rPr>
          <w:rFonts w:ascii="Calibri" w:eastAsia="Calibri" w:hAnsi="Calibri" w:cs="AGA Rasheeq Bold"/>
          <w:color w:val="4F81BD"/>
          <w:sz w:val="40"/>
          <w:szCs w:val="40"/>
          <w:rtl/>
        </w:rPr>
      </w:pPr>
      <w:r>
        <w:rPr>
          <w:rFonts w:hint="cs"/>
          <w:i/>
          <w:iCs/>
          <w:rtl/>
        </w:rPr>
        <w:t>مبحث فى</w:t>
      </w:r>
      <w:r w:rsidRPr="007E1CFD">
        <w:rPr>
          <w:rFonts w:hint="cs"/>
          <w:i/>
          <w:iCs/>
          <w:sz w:val="18"/>
          <w:szCs w:val="18"/>
          <w:rtl/>
        </w:rPr>
        <w:t xml:space="preserve"> </w:t>
      </w:r>
      <w:r w:rsidRPr="007E1CFD">
        <w:rPr>
          <w:rFonts w:ascii="Calibri" w:eastAsia="Calibri" w:hAnsi="Calibri" w:cs="AGA Rasheeq Bold" w:hint="cs"/>
          <w:sz w:val="18"/>
          <w:szCs w:val="18"/>
          <w:rtl/>
        </w:rPr>
        <w:t>مدخل إلى علوم القرآن</w:t>
      </w:r>
    </w:p>
    <w:p w:rsidR="00FB3B3B" w:rsidRPr="00E964D6" w:rsidRDefault="00FB3B3B" w:rsidP="00E964D6">
      <w:pPr>
        <w:pStyle w:val="Author"/>
        <w:bidi/>
        <w:rPr>
          <w:i/>
          <w:iCs/>
          <w:sz w:val="20"/>
          <w:szCs w:val="20"/>
          <w:lang w:eastAsia="zh-CN"/>
        </w:rPr>
      </w:pPr>
      <w:r w:rsidRPr="00E964D6">
        <w:rPr>
          <w:rFonts w:hint="cs"/>
          <w:i/>
          <w:iCs/>
          <w:sz w:val="20"/>
          <w:szCs w:val="20"/>
          <w:rtl/>
          <w:lang w:eastAsia="zh-CN"/>
        </w:rPr>
        <w:t xml:space="preserve">إعداد / </w:t>
      </w:r>
      <w:r w:rsidR="00E964D6" w:rsidRPr="00E964D6">
        <w:rPr>
          <w:rFonts w:hint="cs"/>
          <w:i/>
          <w:iCs/>
          <w:sz w:val="20"/>
          <w:szCs w:val="20"/>
          <w:rtl/>
          <w:lang w:eastAsia="zh-CN"/>
        </w:rPr>
        <w:t>منة الله مجدى بهجت</w:t>
      </w:r>
    </w:p>
    <w:p w:rsidR="00FB3B3B" w:rsidRPr="00E964D6" w:rsidRDefault="00FB3B3B" w:rsidP="00FB3B3B">
      <w:pPr>
        <w:pStyle w:val="Affiliation"/>
        <w:bidi/>
        <w:rPr>
          <w:i/>
          <w:iCs/>
        </w:rPr>
      </w:pPr>
      <w:r>
        <w:rPr>
          <w:rFonts w:hint="cs"/>
          <w:i/>
          <w:iCs/>
          <w:rtl/>
        </w:rPr>
        <w:t>قسم الدعوة وأصول الدين</w:t>
      </w:r>
    </w:p>
    <w:p w:rsidR="00FB3B3B" w:rsidRPr="00E964D6" w:rsidRDefault="00FB3B3B" w:rsidP="00FB3B3B">
      <w:pPr>
        <w:pStyle w:val="Affiliation"/>
        <w:bidi/>
        <w:rPr>
          <w:i/>
          <w:iCs/>
        </w:rPr>
      </w:pPr>
      <w:r>
        <w:rPr>
          <w:rFonts w:hint="cs"/>
          <w:i/>
          <w:iCs/>
          <w:rtl/>
        </w:rPr>
        <w:t xml:space="preserve">كلية العلوم الإسلامية </w:t>
      </w:r>
      <w:r>
        <w:rPr>
          <w:i/>
          <w:iCs/>
          <w:rtl/>
        </w:rPr>
        <w:t>–</w:t>
      </w:r>
      <w:r>
        <w:rPr>
          <w:rFonts w:hint="cs"/>
          <w:i/>
          <w:iCs/>
          <w:rtl/>
        </w:rPr>
        <w:t xml:space="preserve"> جامعة المدينة العالمية</w:t>
      </w:r>
      <w:r w:rsidRPr="00E964D6">
        <w:rPr>
          <w:i/>
          <w:iCs/>
        </w:rPr>
        <w:t xml:space="preserve"> </w:t>
      </w:r>
    </w:p>
    <w:p w:rsidR="00FB3B3B" w:rsidRPr="00E964D6" w:rsidRDefault="00FB3B3B" w:rsidP="00FB3B3B">
      <w:pPr>
        <w:pStyle w:val="Affiliation"/>
        <w:bidi/>
        <w:rPr>
          <w:i/>
          <w:iCs/>
          <w:rtl/>
        </w:rPr>
      </w:pPr>
      <w:r w:rsidRPr="00E964D6">
        <w:rPr>
          <w:rFonts w:hint="cs"/>
          <w:i/>
          <w:iCs/>
          <w:rtl/>
        </w:rPr>
        <w:t>شاه علم - ماليزيا</w:t>
      </w:r>
    </w:p>
    <w:p w:rsidR="00FB3B3B" w:rsidRPr="00E964D6" w:rsidRDefault="00E964D6" w:rsidP="00E964D6">
      <w:pPr>
        <w:spacing w:line="240" w:lineRule="auto"/>
        <w:jc w:val="center"/>
        <w:rPr>
          <w:rFonts w:ascii="Times New Roman" w:eastAsia="SimSun" w:hAnsi="Times New Roman" w:cs="Times New Roman"/>
          <w:i/>
          <w:iCs/>
          <w:sz w:val="20"/>
          <w:szCs w:val="20"/>
          <w:rtl/>
          <w:lang w:eastAsia="zh-CN"/>
        </w:rPr>
        <w:sectPr w:rsidR="00FB3B3B" w:rsidRPr="00E964D6" w:rsidSect="005C15CC">
          <w:pgSz w:w="11906" w:h="16838"/>
          <w:pgMar w:top="1440" w:right="1440" w:bottom="1440" w:left="1440" w:header="720" w:footer="720" w:gutter="0"/>
          <w:cols w:space="720"/>
          <w:bidi/>
          <w:rtlGutter/>
          <w:docGrid w:linePitch="360"/>
        </w:sectPr>
      </w:pPr>
      <w:hyperlink r:id="rId5" w:history="1">
        <w:r w:rsidRPr="00E964D6">
          <w:rPr>
            <w:rFonts w:ascii="Times New Roman" w:eastAsia="SimSun" w:hAnsi="Times New Roman" w:cs="Times New Roman"/>
            <w:i/>
            <w:iCs/>
            <w:sz w:val="20"/>
            <w:szCs w:val="20"/>
            <w:lang w:eastAsia="zh-CN"/>
          </w:rPr>
          <w:t>Menna.Magdy@mediu.ws</w:t>
        </w:r>
      </w:hyperlink>
    </w:p>
    <w:p w:rsidR="00FB3B3B" w:rsidRPr="00FB3B3B" w:rsidRDefault="00FB3B3B" w:rsidP="00FB3B3B">
      <w:pPr>
        <w:spacing w:line="240" w:lineRule="auto"/>
        <w:rPr>
          <w:rFonts w:asciiTheme="majorBidi" w:hAnsiTheme="majorBidi" w:cstheme="majorBidi"/>
          <w:b/>
          <w:bCs/>
          <w:sz w:val="18"/>
          <w:szCs w:val="18"/>
          <w:rtl/>
          <w:lang w:bidi="ar-EG"/>
        </w:rPr>
      </w:pPr>
      <w:r w:rsidRPr="00FB3B3B">
        <w:rPr>
          <w:rFonts w:asciiTheme="majorBidi" w:hAnsiTheme="majorBidi" w:cstheme="majorBidi"/>
          <w:b/>
          <w:bCs/>
          <w:sz w:val="18"/>
          <w:szCs w:val="18"/>
          <w:rtl/>
        </w:rPr>
        <w:lastRenderedPageBreak/>
        <w:t xml:space="preserve">الخلاصة – هذا البحث يبحث فى </w:t>
      </w:r>
      <w:r>
        <w:rPr>
          <w:rFonts w:asciiTheme="majorBidi" w:eastAsia="Calibri" w:hAnsiTheme="majorBidi" w:cstheme="majorBidi" w:hint="cs"/>
          <w:b/>
          <w:bCs/>
          <w:sz w:val="18"/>
          <w:szCs w:val="18"/>
          <w:rtl/>
        </w:rPr>
        <w:t>المكى والمدنى</w:t>
      </w:r>
    </w:p>
    <w:p w:rsidR="00FB3B3B" w:rsidRPr="00FB3B3B" w:rsidRDefault="00FB3B3B" w:rsidP="00FB3B3B">
      <w:pPr>
        <w:spacing w:before="60" w:line="240" w:lineRule="auto"/>
        <w:rPr>
          <w:rFonts w:asciiTheme="majorBidi" w:eastAsia="Calibri" w:hAnsiTheme="majorBidi" w:cstheme="majorBidi"/>
          <w:b/>
          <w:bCs/>
          <w:sz w:val="18"/>
          <w:szCs w:val="18"/>
          <w:rtl/>
        </w:rPr>
      </w:pPr>
      <w:r w:rsidRPr="00FB3B3B">
        <w:rPr>
          <w:rFonts w:asciiTheme="majorBidi" w:eastAsia="Calibri" w:hAnsiTheme="majorBidi" w:cstheme="majorBidi"/>
          <w:b/>
          <w:bCs/>
          <w:sz w:val="18"/>
          <w:szCs w:val="18"/>
          <w:rtl/>
        </w:rPr>
        <w:t xml:space="preserve">الكلمات المفتاحية – </w:t>
      </w:r>
      <w:r>
        <w:rPr>
          <w:rFonts w:asciiTheme="majorBidi" w:eastAsia="Calibri" w:hAnsiTheme="majorBidi" w:cstheme="majorBidi" w:hint="cs"/>
          <w:b/>
          <w:bCs/>
          <w:sz w:val="18"/>
          <w:szCs w:val="18"/>
          <w:rtl/>
        </w:rPr>
        <w:t>المكى</w:t>
      </w:r>
      <w:r w:rsidRPr="00FB3B3B">
        <w:rPr>
          <w:rFonts w:asciiTheme="majorBidi" w:eastAsia="Calibri" w:hAnsiTheme="majorBidi" w:cstheme="majorBidi"/>
          <w:b/>
          <w:bCs/>
          <w:sz w:val="18"/>
          <w:szCs w:val="18"/>
          <w:rtl/>
        </w:rPr>
        <w:t xml:space="preserve">، </w:t>
      </w:r>
      <w:r>
        <w:rPr>
          <w:rFonts w:asciiTheme="majorBidi" w:eastAsia="Calibri" w:hAnsiTheme="majorBidi" w:cstheme="majorBidi" w:hint="cs"/>
          <w:b/>
          <w:bCs/>
          <w:sz w:val="18"/>
          <w:szCs w:val="18"/>
          <w:rtl/>
        </w:rPr>
        <w:t>حكمه</w:t>
      </w:r>
      <w:r w:rsidRPr="00FB3B3B">
        <w:rPr>
          <w:rFonts w:asciiTheme="majorBidi" w:eastAsia="Calibri" w:hAnsiTheme="majorBidi" w:cstheme="majorBidi"/>
          <w:b/>
          <w:bCs/>
          <w:sz w:val="18"/>
          <w:szCs w:val="18"/>
          <w:rtl/>
        </w:rPr>
        <w:t xml:space="preserve">، </w:t>
      </w:r>
      <w:r>
        <w:rPr>
          <w:rFonts w:asciiTheme="majorBidi" w:eastAsia="Calibri" w:hAnsiTheme="majorBidi" w:cstheme="majorBidi" w:hint="cs"/>
          <w:b/>
          <w:bCs/>
          <w:sz w:val="18"/>
          <w:szCs w:val="18"/>
          <w:rtl/>
        </w:rPr>
        <w:t>الأنياء</w:t>
      </w:r>
    </w:p>
    <w:p w:rsidR="00FB3B3B" w:rsidRPr="00FB3B3B" w:rsidRDefault="00FB3B3B" w:rsidP="00FB3B3B">
      <w:pPr>
        <w:pStyle w:val="ListParagraph"/>
        <w:numPr>
          <w:ilvl w:val="0"/>
          <w:numId w:val="2"/>
        </w:numPr>
        <w:tabs>
          <w:tab w:val="left" w:pos="1093"/>
        </w:tabs>
        <w:spacing w:before="60" w:line="240" w:lineRule="auto"/>
        <w:ind w:left="103" w:hanging="90"/>
        <w:jc w:val="center"/>
        <w:rPr>
          <w:rFonts w:asciiTheme="majorBidi" w:hAnsiTheme="majorBidi" w:cstheme="majorBidi"/>
          <w:b/>
          <w:bCs/>
          <w:sz w:val="18"/>
          <w:szCs w:val="18"/>
          <w:rtl/>
        </w:rPr>
      </w:pPr>
      <w:r>
        <w:rPr>
          <w:rFonts w:asciiTheme="majorBidi" w:hAnsiTheme="majorBidi" w:cstheme="majorBidi" w:hint="cs"/>
          <w:b/>
          <w:bCs/>
          <w:sz w:val="18"/>
          <w:szCs w:val="18"/>
          <w:rtl/>
        </w:rPr>
        <w:t>.</w:t>
      </w:r>
      <w:r w:rsidRPr="00FB3B3B">
        <w:rPr>
          <w:rFonts w:asciiTheme="majorBidi" w:hAnsiTheme="majorBidi" w:cstheme="majorBidi"/>
          <w:b/>
          <w:bCs/>
          <w:sz w:val="18"/>
          <w:szCs w:val="18"/>
          <w:rtl/>
        </w:rPr>
        <w:t>المقدمة</w:t>
      </w:r>
    </w:p>
    <w:p w:rsidR="00FB3B3B" w:rsidRPr="00FB3B3B" w:rsidRDefault="00FB3B3B" w:rsidP="00FB3B3B">
      <w:pPr>
        <w:spacing w:before="60" w:line="240" w:lineRule="auto"/>
        <w:rPr>
          <w:rFonts w:asciiTheme="majorBidi" w:hAnsiTheme="majorBidi" w:cstheme="majorBidi"/>
          <w:b/>
          <w:bCs/>
          <w:sz w:val="18"/>
          <w:szCs w:val="18"/>
          <w:rtl/>
          <w:lang w:bidi="ar-EG"/>
        </w:rPr>
      </w:pPr>
      <w:r w:rsidRPr="00FB3B3B">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Pr>
          <w:rFonts w:asciiTheme="majorBidi" w:eastAsia="Calibri" w:hAnsiTheme="majorBidi" w:cstheme="majorBidi" w:hint="cs"/>
          <w:b/>
          <w:bCs/>
          <w:sz w:val="18"/>
          <w:szCs w:val="18"/>
          <w:rtl/>
        </w:rPr>
        <w:t>المكى والمدنى</w:t>
      </w:r>
    </w:p>
    <w:p w:rsidR="00FB3B3B" w:rsidRPr="00FB3B3B" w:rsidRDefault="00FB3B3B" w:rsidP="00FB3B3B">
      <w:pPr>
        <w:pStyle w:val="ListParagraph"/>
        <w:numPr>
          <w:ilvl w:val="0"/>
          <w:numId w:val="3"/>
        </w:numPr>
        <w:spacing w:line="240" w:lineRule="auto"/>
        <w:ind w:left="193" w:hanging="90"/>
        <w:jc w:val="center"/>
        <w:rPr>
          <w:rFonts w:asciiTheme="majorBidi" w:hAnsiTheme="majorBidi" w:cstheme="majorBidi"/>
          <w:b/>
          <w:bCs/>
          <w:sz w:val="18"/>
          <w:szCs w:val="18"/>
          <w:rtl/>
        </w:rPr>
      </w:pPr>
      <w:r>
        <w:rPr>
          <w:rFonts w:asciiTheme="majorBidi" w:hAnsiTheme="majorBidi" w:cstheme="majorBidi" w:hint="cs"/>
          <w:b/>
          <w:bCs/>
          <w:sz w:val="18"/>
          <w:szCs w:val="18"/>
          <w:rtl/>
        </w:rPr>
        <w:t>.</w:t>
      </w:r>
      <w:r w:rsidRPr="00FB3B3B">
        <w:rPr>
          <w:rFonts w:asciiTheme="majorBidi" w:hAnsiTheme="majorBidi" w:cstheme="majorBidi"/>
          <w:b/>
          <w:bCs/>
          <w:sz w:val="18"/>
          <w:szCs w:val="18"/>
          <w:rtl/>
        </w:rPr>
        <w:t>عنوان المقال</w:t>
      </w:r>
    </w:p>
    <w:p w:rsidR="00FB3B3B" w:rsidRPr="00FB3B3B" w:rsidRDefault="00FB3B3B" w:rsidP="00FB3B3B">
      <w:pPr>
        <w:spacing w:before="100" w:beforeAutospacing="1" w:after="100" w:afterAutospacing="1" w:line="240" w:lineRule="auto"/>
        <w:jc w:val="distribute"/>
        <w:rPr>
          <w:rFonts w:asciiTheme="majorBidi" w:hAnsiTheme="majorBidi" w:cstheme="majorBidi"/>
          <w:b/>
          <w:bCs/>
          <w:sz w:val="18"/>
          <w:szCs w:val="18"/>
          <w:rtl/>
        </w:rPr>
      </w:pPr>
      <w:r w:rsidRPr="00FB3B3B">
        <w:rPr>
          <w:rFonts w:asciiTheme="majorBidi" w:hAnsiTheme="majorBidi" w:cstheme="majorBidi"/>
          <w:b/>
          <w:bCs/>
          <w:sz w:val="18"/>
          <w:szCs w:val="18"/>
          <w:rtl/>
        </w:rPr>
        <w:t>مبحث مواطن النزول وأوقاته:</w:t>
      </w:r>
    </w:p>
    <w:p w:rsidR="00FB3B3B" w:rsidRPr="00FB3B3B" w:rsidRDefault="00FB3B3B" w:rsidP="00FB3B3B">
      <w:pPr>
        <w:widowControl w:val="0"/>
        <w:spacing w:after="120" w:line="240" w:lineRule="auto"/>
        <w:jc w:val="both"/>
        <w:rPr>
          <w:rFonts w:asciiTheme="majorBidi" w:hAnsiTheme="majorBidi" w:cstheme="majorBidi"/>
          <w:b/>
          <w:bCs/>
          <w:sz w:val="18"/>
          <w:szCs w:val="18"/>
          <w:rtl/>
          <w:lang w:bidi="ar-EG"/>
        </w:rPr>
      </w:pPr>
      <w:r w:rsidRPr="00FB3B3B">
        <w:rPr>
          <w:rFonts w:asciiTheme="majorBidi" w:hAnsiTheme="majorBidi" w:cstheme="majorBidi"/>
          <w:b/>
          <w:bCs/>
          <w:sz w:val="18"/>
          <w:szCs w:val="18"/>
          <w:rtl/>
        </w:rPr>
        <w:t xml:space="preserve">ويندرج تحته: معرفة المكّيّ، والمدنيّ، والحضريّ، والسفريّ، والنهاريّ، والليليّ، والصيفيّ، والشتائيّ، والفراشيّ، والنوميّ، والأرضيّ، والسمائيّ، وأوّل ما نزل، وآخر ما نزل، وأسباب النزول، وما نزل على لسان بعض الصحابة، وما تكرر نزوله، وما تأخر حُكمه عن نزوله، وما تأخّر نزوله عن حُكمه، ومعرفة ما نزل مفرّقًا، وما نزل جمعًا، وما نزل مشيّعًا، وما نزل مفردًا، وما أُنزل منه على بعض الأنبياء، وما لم ينزل منه على أحد قبل النبي </w:t>
      </w:r>
      <w:r w:rsidRPr="00FB3B3B">
        <w:rPr>
          <w:rFonts w:asciiTheme="majorBidi" w:hAnsiTheme="majorBidi" w:cstheme="majorBidi"/>
          <w:b/>
          <w:bCs/>
          <w:position w:val="-4"/>
          <w:sz w:val="18"/>
          <w:szCs w:val="18"/>
        </w:rPr>
        <w:sym w:font="AGA Arabesque" w:char="F065"/>
      </w:r>
      <w:r w:rsidRPr="00FB3B3B">
        <w:rPr>
          <w:rFonts w:asciiTheme="majorBidi" w:hAnsiTheme="majorBidi" w:cstheme="majorBidi"/>
          <w:b/>
          <w:bCs/>
          <w:sz w:val="18"/>
          <w:szCs w:val="18"/>
          <w:rtl/>
        </w:rPr>
        <w:t xml:space="preserve">وكيفية إنزاله. </w:t>
      </w:r>
    </w:p>
    <w:p w:rsidR="00FB3B3B" w:rsidRPr="00FB3B3B" w:rsidRDefault="00FB3B3B" w:rsidP="00FB3B3B">
      <w:pPr>
        <w:spacing w:before="100" w:beforeAutospacing="1" w:after="100" w:afterAutospacing="1" w:line="240" w:lineRule="auto"/>
        <w:jc w:val="distribute"/>
        <w:rPr>
          <w:rFonts w:asciiTheme="majorBidi" w:hAnsiTheme="majorBidi" w:cstheme="majorBidi"/>
          <w:b/>
          <w:bCs/>
          <w:sz w:val="18"/>
          <w:szCs w:val="18"/>
          <w:rtl/>
        </w:rPr>
      </w:pPr>
      <w:r w:rsidRPr="00FB3B3B">
        <w:rPr>
          <w:rFonts w:asciiTheme="majorBidi" w:hAnsiTheme="majorBidi" w:cstheme="majorBidi"/>
          <w:b/>
          <w:bCs/>
          <w:sz w:val="18"/>
          <w:szCs w:val="18"/>
          <w:rtl/>
        </w:rPr>
        <w:t>أولًا: المكّيّ والمدنيّ.</w:t>
      </w:r>
    </w:p>
    <w:p w:rsidR="00FB3B3B" w:rsidRPr="00FB3B3B" w:rsidRDefault="00FB3B3B" w:rsidP="00FB3B3B">
      <w:pPr>
        <w:widowControl w:val="0"/>
        <w:spacing w:after="120" w:line="240" w:lineRule="auto"/>
        <w:jc w:val="both"/>
        <w:rPr>
          <w:rFonts w:asciiTheme="majorBidi" w:hAnsiTheme="majorBidi" w:cstheme="majorBidi"/>
          <w:b/>
          <w:bCs/>
          <w:sz w:val="18"/>
          <w:szCs w:val="18"/>
          <w:rtl/>
        </w:rPr>
      </w:pPr>
      <w:r w:rsidRPr="00FB3B3B">
        <w:rPr>
          <w:rFonts w:asciiTheme="majorBidi" w:hAnsiTheme="majorBidi" w:cstheme="majorBidi"/>
          <w:b/>
          <w:bCs/>
          <w:sz w:val="18"/>
          <w:szCs w:val="18"/>
          <w:rtl/>
        </w:rPr>
        <w:t>أفرده بالتصنيف جماعة، منهم: مكي بن أبي طالب.</w:t>
      </w:r>
    </w:p>
    <w:p w:rsidR="00FB3B3B" w:rsidRPr="00FB3B3B" w:rsidRDefault="00FB3B3B" w:rsidP="00FB3B3B">
      <w:pPr>
        <w:spacing w:before="100" w:beforeAutospacing="1" w:after="100" w:afterAutospacing="1" w:line="240" w:lineRule="auto"/>
        <w:jc w:val="distribute"/>
        <w:rPr>
          <w:rFonts w:asciiTheme="majorBidi" w:hAnsiTheme="majorBidi" w:cstheme="majorBidi"/>
          <w:b/>
          <w:bCs/>
          <w:sz w:val="18"/>
          <w:szCs w:val="18"/>
          <w:rtl/>
        </w:rPr>
      </w:pPr>
      <w:r w:rsidRPr="00FB3B3B">
        <w:rPr>
          <w:rFonts w:asciiTheme="majorBidi" w:hAnsiTheme="majorBidi" w:cstheme="majorBidi"/>
          <w:b/>
          <w:bCs/>
          <w:sz w:val="18"/>
          <w:szCs w:val="18"/>
          <w:rtl/>
        </w:rPr>
        <w:t xml:space="preserve">ومن فوائد معرفة ذلك: </w:t>
      </w:r>
    </w:p>
    <w:p w:rsidR="00FB3B3B" w:rsidRPr="00FB3B3B" w:rsidRDefault="00FB3B3B" w:rsidP="00FB3B3B">
      <w:pPr>
        <w:widowControl w:val="0"/>
        <w:spacing w:after="120" w:line="240" w:lineRule="auto"/>
        <w:jc w:val="both"/>
        <w:rPr>
          <w:rFonts w:asciiTheme="majorBidi" w:hAnsiTheme="majorBidi" w:cstheme="majorBidi"/>
          <w:b/>
          <w:bCs/>
          <w:sz w:val="18"/>
          <w:szCs w:val="18"/>
          <w:rtl/>
        </w:rPr>
      </w:pPr>
      <w:r w:rsidRPr="00FB3B3B">
        <w:rPr>
          <w:rFonts w:asciiTheme="majorBidi" w:hAnsiTheme="majorBidi" w:cstheme="majorBidi"/>
          <w:b/>
          <w:bCs/>
          <w:sz w:val="18"/>
          <w:szCs w:val="18"/>
          <w:rtl/>
        </w:rPr>
        <w:t xml:space="preserve">العلْم بالمتأخّر، فيكون ناسخًا أو مخصّصًا على رأي من يرى تأخير المخصّص. </w:t>
      </w:r>
    </w:p>
    <w:p w:rsidR="00FB3B3B" w:rsidRPr="00FB3B3B" w:rsidRDefault="00FB3B3B" w:rsidP="00FB3B3B">
      <w:pPr>
        <w:widowControl w:val="0"/>
        <w:spacing w:after="120" w:line="240" w:lineRule="auto"/>
        <w:jc w:val="both"/>
        <w:rPr>
          <w:rFonts w:asciiTheme="majorBidi" w:hAnsiTheme="majorBidi" w:cstheme="majorBidi"/>
          <w:b/>
          <w:bCs/>
          <w:sz w:val="18"/>
          <w:szCs w:val="18"/>
          <w:rtl/>
        </w:rPr>
      </w:pPr>
      <w:r w:rsidRPr="00FB3B3B">
        <w:rPr>
          <w:rFonts w:asciiTheme="majorBidi" w:hAnsiTheme="majorBidi" w:cstheme="majorBidi"/>
          <w:b/>
          <w:bCs/>
          <w:sz w:val="18"/>
          <w:szCs w:val="18"/>
          <w:rtl/>
        </w:rPr>
        <w:t>قال أبو القاسم الحسن بن محمد بن حبيب النيسابوري، في كتاب: (التنبيه على فضل علوم القرآن): "مِن أشرف علوم القرآن: علْم نزوله، وجهاته، وترتيب ما نزل بمكة والمدينة، وما نزل بمكة وحُكمه مدني، وما نزل بالمدينة وحُكمه مكي، وما نزل بمكة في أهل المدينة، وما نزل بالمدينة في أهل مكة، وما يشبه نزول المكي في المدني، وما يشبه نزول المدني في المكي، وما نزل بالجحفة، وما نزل ببيت المقدس، وما نزل بالطائف، وما نزل بالحديبية، وما نزل ليلًا، وما نزل نهارًا، وما نزل مشيعًا، وما نزل مفردًا، والآيات المدنيات في السوَر المكية، والآيات المكيات في السوَر المدنية، وما حُمل من مكة إلى المدينة، وما حُمل من المدينة إلى مكة، وما حُمل من المدينة إلى أرض الحبشة، وما نزل مجملًا، وما نزل مفسّرًا، وما اختلفوا فيه، فقال بعضهم: مدني، وبعضهم: مكي. فهذه خمسة وعشرون وجهًا من لم يعرفها ويميز بينها، لم يحلّ له أن يتكلم في كتاب الله تعالى". انتهى.</w:t>
      </w:r>
    </w:p>
    <w:p w:rsidR="00FB3B3B" w:rsidRPr="00FB3B3B" w:rsidRDefault="00FB3B3B" w:rsidP="00FB3B3B">
      <w:pPr>
        <w:widowControl w:val="0"/>
        <w:spacing w:after="120" w:line="240" w:lineRule="auto"/>
        <w:jc w:val="both"/>
        <w:rPr>
          <w:rFonts w:asciiTheme="majorBidi" w:hAnsiTheme="majorBidi" w:cstheme="majorBidi"/>
          <w:b/>
          <w:bCs/>
          <w:sz w:val="18"/>
          <w:szCs w:val="18"/>
          <w:rtl/>
        </w:rPr>
      </w:pPr>
      <w:r w:rsidRPr="00FB3B3B">
        <w:rPr>
          <w:rFonts w:asciiTheme="majorBidi" w:hAnsiTheme="majorBidi" w:cstheme="majorBidi"/>
          <w:b/>
          <w:bCs/>
          <w:sz w:val="18"/>
          <w:szCs w:val="18"/>
          <w:rtl/>
        </w:rPr>
        <w:t>وقال ابن العربي في كتابه: (الناسخ والمنسوخ): الذي علمناه على الجملة من القرآن أن منه مكيًّا، ومدنيًّا، وسفريًّا، وحضريًّا، وليليًّا، ونهاريًّا، وسمائيًّا، وأرضيًّا، وما نزل بين السماء والأرض، وما نزل تحت الأرض في الغار".</w:t>
      </w:r>
      <w:r w:rsidRPr="00FB3B3B">
        <w:rPr>
          <w:rFonts w:asciiTheme="majorBidi" w:hAnsiTheme="majorBidi" w:cstheme="majorBidi"/>
          <w:b/>
          <w:bCs/>
          <w:sz w:val="18"/>
          <w:szCs w:val="18"/>
          <w:rtl/>
        </w:rPr>
        <w:tab/>
      </w:r>
    </w:p>
    <w:p w:rsidR="00FB3B3B" w:rsidRPr="00FB3B3B" w:rsidRDefault="00FB3B3B" w:rsidP="00FB3B3B">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FB3B3B">
        <w:rPr>
          <w:rFonts w:asciiTheme="majorBidi" w:hAnsiTheme="majorBidi" w:cstheme="majorBidi"/>
          <w:b/>
          <w:bCs/>
          <w:sz w:val="18"/>
          <w:szCs w:val="18"/>
          <w:rtl/>
        </w:rPr>
        <w:t xml:space="preserve">(الإتقان في علوم القرآن) </w:t>
      </w:r>
    </w:p>
    <w:p w:rsidR="00FB3B3B" w:rsidRPr="00FB3B3B" w:rsidRDefault="00FB3B3B" w:rsidP="00FB3B3B">
      <w:pPr>
        <w:spacing w:after="120" w:line="240" w:lineRule="auto"/>
        <w:ind w:left="363" w:hanging="79"/>
        <w:jc w:val="both"/>
        <w:rPr>
          <w:rFonts w:asciiTheme="majorBidi" w:hAnsiTheme="majorBidi" w:cstheme="majorBidi"/>
          <w:b/>
          <w:bCs/>
          <w:sz w:val="18"/>
          <w:szCs w:val="18"/>
        </w:rPr>
      </w:pPr>
      <w:r w:rsidRPr="00FB3B3B">
        <w:rPr>
          <w:rFonts w:asciiTheme="majorBidi" w:hAnsiTheme="majorBidi" w:cstheme="majorBidi"/>
          <w:b/>
          <w:bCs/>
          <w:sz w:val="18"/>
          <w:szCs w:val="18"/>
          <w:rtl/>
        </w:rPr>
        <w:lastRenderedPageBreak/>
        <w:t>أبو بكر عبد الرحمن بن الكمال السيوطي, الهيئة المصرية العامة للكتاب، 1974م.</w:t>
      </w:r>
    </w:p>
    <w:p w:rsidR="00FB3B3B" w:rsidRPr="00FB3B3B" w:rsidRDefault="00FB3B3B" w:rsidP="00FB3B3B">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FB3B3B">
        <w:rPr>
          <w:rFonts w:asciiTheme="majorBidi" w:hAnsiTheme="majorBidi" w:cstheme="majorBidi"/>
          <w:b/>
          <w:bCs/>
          <w:sz w:val="18"/>
          <w:szCs w:val="18"/>
          <w:rtl/>
        </w:rPr>
        <w:t>(إعجاز القرآن)</w:t>
      </w:r>
    </w:p>
    <w:p w:rsidR="00FB3B3B" w:rsidRPr="00FB3B3B" w:rsidRDefault="00FB3B3B" w:rsidP="00FB3B3B">
      <w:pPr>
        <w:spacing w:after="120" w:line="240" w:lineRule="auto"/>
        <w:ind w:left="363" w:hanging="79"/>
        <w:jc w:val="both"/>
        <w:rPr>
          <w:rFonts w:asciiTheme="majorBidi" w:hAnsiTheme="majorBidi" w:cstheme="majorBidi"/>
          <w:b/>
          <w:bCs/>
          <w:sz w:val="18"/>
          <w:szCs w:val="18"/>
        </w:rPr>
      </w:pPr>
      <w:r w:rsidRPr="00FB3B3B">
        <w:rPr>
          <w:rFonts w:asciiTheme="majorBidi" w:hAnsiTheme="majorBidi" w:cstheme="majorBidi"/>
          <w:b/>
          <w:bCs/>
          <w:sz w:val="18"/>
          <w:szCs w:val="18"/>
          <w:rtl/>
        </w:rPr>
        <w:t>أبو بكر بن الطيب الباقلاني، تحقيق: عماد الدين حيدر، مؤسسة الكتب الثقافية، 1991م.</w:t>
      </w:r>
    </w:p>
    <w:p w:rsidR="00FB3B3B" w:rsidRPr="00FB3B3B" w:rsidRDefault="00FB3B3B" w:rsidP="00FB3B3B">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FB3B3B">
        <w:rPr>
          <w:rFonts w:asciiTheme="majorBidi" w:hAnsiTheme="majorBidi" w:cstheme="majorBidi"/>
          <w:b/>
          <w:bCs/>
          <w:sz w:val="18"/>
          <w:szCs w:val="18"/>
          <w:rtl/>
        </w:rPr>
        <w:t>(البرهان في علوم القرآن)</w:t>
      </w:r>
    </w:p>
    <w:p w:rsidR="00FB3B3B" w:rsidRPr="00FB3B3B" w:rsidRDefault="00FB3B3B" w:rsidP="00FB3B3B">
      <w:pPr>
        <w:spacing w:after="120" w:line="240" w:lineRule="auto"/>
        <w:ind w:left="363" w:hanging="79"/>
        <w:jc w:val="both"/>
        <w:rPr>
          <w:rFonts w:asciiTheme="majorBidi" w:hAnsiTheme="majorBidi" w:cstheme="majorBidi"/>
          <w:b/>
          <w:bCs/>
          <w:sz w:val="18"/>
          <w:szCs w:val="18"/>
          <w:rtl/>
        </w:rPr>
      </w:pPr>
      <w:r w:rsidRPr="00FB3B3B">
        <w:rPr>
          <w:rFonts w:asciiTheme="majorBidi" w:hAnsiTheme="majorBidi" w:cstheme="majorBidi"/>
          <w:b/>
          <w:bCs/>
          <w:sz w:val="18"/>
          <w:szCs w:val="18"/>
          <w:rtl/>
          <w:lang w:eastAsia="ar-SA"/>
        </w:rPr>
        <w:t>محمد بن بهادر بن عبد الله</w:t>
      </w:r>
      <w:r w:rsidRPr="00FB3B3B">
        <w:rPr>
          <w:rFonts w:asciiTheme="majorBidi" w:hAnsiTheme="majorBidi" w:cstheme="majorBidi"/>
          <w:b/>
          <w:bCs/>
          <w:sz w:val="18"/>
          <w:szCs w:val="18"/>
          <w:rtl/>
        </w:rPr>
        <w:t xml:space="preserve"> الزركشي، دار الكتب العلمية، 2001م.</w:t>
      </w:r>
    </w:p>
    <w:p w:rsidR="00FB3B3B" w:rsidRPr="00FB3B3B" w:rsidRDefault="00FB3B3B" w:rsidP="00FB3B3B">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FB3B3B">
        <w:rPr>
          <w:rFonts w:asciiTheme="majorBidi" w:hAnsiTheme="majorBidi" w:cstheme="majorBidi"/>
          <w:b/>
          <w:bCs/>
          <w:sz w:val="18"/>
          <w:szCs w:val="18"/>
          <w:rtl/>
        </w:rPr>
        <w:t>(التعريفات)</w:t>
      </w:r>
    </w:p>
    <w:p w:rsidR="00FB3B3B" w:rsidRPr="00FB3B3B" w:rsidRDefault="00FB3B3B" w:rsidP="00FB3B3B">
      <w:pPr>
        <w:spacing w:after="120" w:line="240" w:lineRule="auto"/>
        <w:ind w:left="363" w:hanging="79"/>
        <w:jc w:val="both"/>
        <w:rPr>
          <w:rFonts w:asciiTheme="majorBidi" w:hAnsiTheme="majorBidi" w:cstheme="majorBidi"/>
          <w:b/>
          <w:bCs/>
          <w:sz w:val="18"/>
          <w:szCs w:val="18"/>
          <w:rtl/>
        </w:rPr>
      </w:pPr>
      <w:r w:rsidRPr="00FB3B3B">
        <w:rPr>
          <w:rFonts w:asciiTheme="majorBidi" w:hAnsiTheme="majorBidi" w:cstheme="majorBidi"/>
          <w:b/>
          <w:bCs/>
          <w:sz w:val="18"/>
          <w:szCs w:val="18"/>
          <w:rtl/>
        </w:rPr>
        <w:t>علي محمد الجرجاني، دار الكتاب المصري، 1991م.</w:t>
      </w:r>
    </w:p>
    <w:p w:rsidR="00FB3B3B" w:rsidRPr="00FB3B3B" w:rsidRDefault="00FB3B3B" w:rsidP="00FB3B3B">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FB3B3B">
        <w:rPr>
          <w:rFonts w:asciiTheme="majorBidi" w:hAnsiTheme="majorBidi" w:cstheme="majorBidi"/>
          <w:b/>
          <w:bCs/>
          <w:sz w:val="18"/>
          <w:szCs w:val="18"/>
          <w:rtl/>
        </w:rPr>
        <w:t>(التوقيف على مهمات التعاريف)</w:t>
      </w:r>
    </w:p>
    <w:p w:rsidR="00FB3B3B" w:rsidRPr="00FB3B3B" w:rsidRDefault="00FB3B3B" w:rsidP="00FB3B3B">
      <w:pPr>
        <w:spacing w:after="120" w:line="240" w:lineRule="auto"/>
        <w:ind w:left="363" w:hanging="79"/>
        <w:jc w:val="both"/>
        <w:rPr>
          <w:rFonts w:asciiTheme="majorBidi" w:hAnsiTheme="majorBidi" w:cstheme="majorBidi"/>
          <w:b/>
          <w:bCs/>
          <w:sz w:val="18"/>
          <w:szCs w:val="18"/>
          <w:rtl/>
        </w:rPr>
      </w:pPr>
      <w:r w:rsidRPr="00FB3B3B">
        <w:rPr>
          <w:rFonts w:asciiTheme="majorBidi" w:hAnsiTheme="majorBidi" w:cstheme="majorBidi"/>
          <w:b/>
          <w:bCs/>
          <w:sz w:val="18"/>
          <w:szCs w:val="18"/>
          <w:rtl/>
        </w:rPr>
        <w:t>محمد عبد الرؤوف المناوي، عالم الكتب، 1990م.</w:t>
      </w:r>
    </w:p>
    <w:p w:rsidR="00FB3B3B" w:rsidRPr="00FB3B3B" w:rsidRDefault="00FB3B3B" w:rsidP="00FB3B3B">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FB3B3B">
        <w:rPr>
          <w:rFonts w:asciiTheme="majorBidi" w:hAnsiTheme="majorBidi" w:cstheme="majorBidi"/>
          <w:b/>
          <w:bCs/>
          <w:sz w:val="18"/>
          <w:szCs w:val="18"/>
          <w:rtl/>
        </w:rPr>
        <w:t>(صحيح البخاري مع شرحه فتح الباري)</w:t>
      </w:r>
    </w:p>
    <w:p w:rsidR="00FB3B3B" w:rsidRPr="00FB3B3B" w:rsidRDefault="00FB3B3B" w:rsidP="00FB3B3B">
      <w:pPr>
        <w:spacing w:after="120" w:line="240" w:lineRule="auto"/>
        <w:ind w:left="363" w:hanging="79"/>
        <w:jc w:val="both"/>
        <w:rPr>
          <w:rFonts w:asciiTheme="majorBidi" w:hAnsiTheme="majorBidi" w:cstheme="majorBidi"/>
          <w:b/>
          <w:bCs/>
          <w:sz w:val="18"/>
          <w:szCs w:val="18"/>
        </w:rPr>
      </w:pPr>
      <w:r w:rsidRPr="00FB3B3B">
        <w:rPr>
          <w:rFonts w:asciiTheme="majorBidi" w:hAnsiTheme="majorBidi" w:cstheme="majorBidi"/>
          <w:b/>
          <w:bCs/>
          <w:sz w:val="18"/>
          <w:szCs w:val="18"/>
          <w:rtl/>
        </w:rPr>
        <w:t>ابن حجر العسقلاني، دار الكتب العلمية، 1997م.</w:t>
      </w:r>
    </w:p>
    <w:p w:rsidR="00FB3B3B" w:rsidRPr="00FB3B3B" w:rsidRDefault="00FB3B3B" w:rsidP="00FB3B3B">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FB3B3B">
        <w:rPr>
          <w:rFonts w:asciiTheme="majorBidi" w:hAnsiTheme="majorBidi" w:cstheme="majorBidi"/>
          <w:b/>
          <w:bCs/>
          <w:sz w:val="18"/>
          <w:szCs w:val="18"/>
          <w:rtl/>
        </w:rPr>
        <w:t>(العجاب في بيان الأسباب)</w:t>
      </w:r>
    </w:p>
    <w:p w:rsidR="00FB3B3B" w:rsidRPr="00FB3B3B" w:rsidRDefault="00FB3B3B" w:rsidP="00FB3B3B">
      <w:pPr>
        <w:spacing w:after="120" w:line="240" w:lineRule="auto"/>
        <w:ind w:left="363" w:hanging="79"/>
        <w:jc w:val="both"/>
        <w:rPr>
          <w:rFonts w:asciiTheme="majorBidi" w:hAnsiTheme="majorBidi" w:cstheme="majorBidi"/>
          <w:b/>
          <w:bCs/>
          <w:sz w:val="18"/>
          <w:szCs w:val="18"/>
          <w:rtl/>
        </w:rPr>
      </w:pPr>
      <w:r w:rsidRPr="00FB3B3B">
        <w:rPr>
          <w:rFonts w:asciiTheme="majorBidi" w:hAnsiTheme="majorBidi" w:cstheme="majorBidi"/>
          <w:b/>
          <w:bCs/>
          <w:sz w:val="18"/>
          <w:szCs w:val="18"/>
          <w:rtl/>
        </w:rPr>
        <w:t xml:space="preserve">ابن حجر العسقلاني، دار ابن الجوزي، 1997م. </w:t>
      </w:r>
    </w:p>
    <w:p w:rsidR="00FB3B3B" w:rsidRPr="00FB3B3B" w:rsidRDefault="00FB3B3B" w:rsidP="00FB3B3B">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FB3B3B">
        <w:rPr>
          <w:rFonts w:asciiTheme="majorBidi" w:hAnsiTheme="majorBidi" w:cstheme="majorBidi"/>
          <w:b/>
          <w:bCs/>
          <w:sz w:val="18"/>
          <w:szCs w:val="18"/>
          <w:rtl/>
        </w:rPr>
        <w:t>(فضائل القرآن)</w:t>
      </w:r>
    </w:p>
    <w:p w:rsidR="00FB3B3B" w:rsidRPr="00FB3B3B" w:rsidRDefault="00FB3B3B" w:rsidP="00FB3B3B">
      <w:pPr>
        <w:spacing w:after="120" w:line="240" w:lineRule="auto"/>
        <w:ind w:left="363" w:hanging="79"/>
        <w:jc w:val="both"/>
        <w:rPr>
          <w:rFonts w:asciiTheme="majorBidi" w:hAnsiTheme="majorBidi" w:cstheme="majorBidi"/>
          <w:b/>
          <w:bCs/>
          <w:sz w:val="18"/>
          <w:szCs w:val="18"/>
          <w:rtl/>
        </w:rPr>
      </w:pPr>
      <w:r w:rsidRPr="00FB3B3B">
        <w:rPr>
          <w:rFonts w:asciiTheme="majorBidi" w:hAnsiTheme="majorBidi" w:cstheme="majorBidi"/>
          <w:b/>
          <w:bCs/>
          <w:sz w:val="18"/>
          <w:szCs w:val="18"/>
          <w:rtl/>
        </w:rPr>
        <w:t>أحمد بن شعيب النسائي، مؤسسة الكتب الثقافية، 1985م.</w:t>
      </w:r>
    </w:p>
    <w:p w:rsidR="00FB3B3B" w:rsidRPr="00FB3B3B" w:rsidRDefault="00FB3B3B" w:rsidP="00FB3B3B">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FB3B3B">
        <w:rPr>
          <w:rFonts w:asciiTheme="majorBidi" w:hAnsiTheme="majorBidi" w:cstheme="majorBidi"/>
          <w:b/>
          <w:bCs/>
          <w:sz w:val="18"/>
          <w:szCs w:val="18"/>
          <w:rtl/>
        </w:rPr>
        <w:t>(فيض القدير شرح الجامع الصغير)</w:t>
      </w:r>
    </w:p>
    <w:p w:rsidR="00FB3B3B" w:rsidRPr="00FB3B3B" w:rsidRDefault="00FB3B3B" w:rsidP="00FB3B3B">
      <w:pPr>
        <w:spacing w:after="120" w:line="240" w:lineRule="auto"/>
        <w:ind w:left="363" w:hanging="79"/>
        <w:jc w:val="both"/>
        <w:rPr>
          <w:rFonts w:asciiTheme="majorBidi" w:hAnsiTheme="majorBidi" w:cstheme="majorBidi"/>
          <w:b/>
          <w:bCs/>
          <w:sz w:val="18"/>
          <w:szCs w:val="18"/>
          <w:rtl/>
        </w:rPr>
      </w:pPr>
      <w:r w:rsidRPr="00FB3B3B">
        <w:rPr>
          <w:rFonts w:asciiTheme="majorBidi" w:hAnsiTheme="majorBidi" w:cstheme="majorBidi"/>
          <w:b/>
          <w:bCs/>
          <w:sz w:val="18"/>
          <w:szCs w:val="18"/>
          <w:rtl/>
        </w:rPr>
        <w:t>محمد بن عبد الرؤوف المناوي، دار المعرفة، 1980م.</w:t>
      </w:r>
    </w:p>
    <w:p w:rsidR="00FB3B3B" w:rsidRPr="00FB3B3B" w:rsidRDefault="00FB3B3B" w:rsidP="00FB3B3B">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FB3B3B">
        <w:rPr>
          <w:rFonts w:asciiTheme="majorBidi" w:hAnsiTheme="majorBidi" w:cstheme="majorBidi"/>
          <w:b/>
          <w:bCs/>
          <w:sz w:val="18"/>
          <w:szCs w:val="18"/>
          <w:rtl/>
        </w:rPr>
        <w:t>(السبعة في القراءات)</w:t>
      </w:r>
    </w:p>
    <w:p w:rsidR="00FB3B3B" w:rsidRPr="00FB3B3B" w:rsidRDefault="00FB3B3B" w:rsidP="00FB3B3B">
      <w:pPr>
        <w:spacing w:after="120" w:line="240" w:lineRule="auto"/>
        <w:ind w:left="363" w:hanging="79"/>
        <w:jc w:val="both"/>
        <w:rPr>
          <w:rFonts w:asciiTheme="majorBidi" w:hAnsiTheme="majorBidi" w:cstheme="majorBidi"/>
          <w:b/>
          <w:bCs/>
          <w:sz w:val="18"/>
          <w:szCs w:val="18"/>
          <w:rtl/>
        </w:rPr>
      </w:pPr>
      <w:r w:rsidRPr="00FB3B3B">
        <w:rPr>
          <w:rFonts w:asciiTheme="majorBidi" w:hAnsiTheme="majorBidi" w:cstheme="majorBidi"/>
          <w:b/>
          <w:bCs/>
          <w:sz w:val="18"/>
          <w:szCs w:val="18"/>
          <w:rtl/>
        </w:rPr>
        <w:t>أحمد بن موسى بن مجاهد، دار المعارف، 1988م.</w:t>
      </w:r>
    </w:p>
    <w:p w:rsidR="00FB3B3B" w:rsidRPr="00FB3B3B" w:rsidRDefault="00FB3B3B" w:rsidP="00FB3B3B">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FB3B3B">
        <w:rPr>
          <w:rFonts w:asciiTheme="majorBidi" w:hAnsiTheme="majorBidi" w:cstheme="majorBidi"/>
          <w:b/>
          <w:bCs/>
          <w:sz w:val="18"/>
          <w:szCs w:val="18"/>
          <w:rtl/>
        </w:rPr>
        <w:t>(لسان العرب)</w:t>
      </w:r>
    </w:p>
    <w:p w:rsidR="00FB3B3B" w:rsidRPr="00FB3B3B" w:rsidRDefault="00FB3B3B" w:rsidP="00FB3B3B">
      <w:pPr>
        <w:spacing w:after="120" w:line="240" w:lineRule="auto"/>
        <w:ind w:left="363" w:hanging="79"/>
        <w:jc w:val="both"/>
        <w:rPr>
          <w:rFonts w:asciiTheme="majorBidi" w:hAnsiTheme="majorBidi" w:cstheme="majorBidi"/>
          <w:b/>
          <w:bCs/>
          <w:sz w:val="18"/>
          <w:szCs w:val="18"/>
          <w:rtl/>
        </w:rPr>
      </w:pPr>
      <w:r w:rsidRPr="00FB3B3B">
        <w:rPr>
          <w:rFonts w:asciiTheme="majorBidi" w:hAnsiTheme="majorBidi" w:cstheme="majorBidi"/>
          <w:b/>
          <w:bCs/>
          <w:sz w:val="18"/>
          <w:szCs w:val="18"/>
          <w:rtl/>
        </w:rPr>
        <w:t>محمد بن مكرم بن منظور، طبعة دار إحياء التراث العربي، 1999م.</w:t>
      </w:r>
    </w:p>
    <w:p w:rsidR="00FB3B3B" w:rsidRPr="00FB3B3B" w:rsidRDefault="00FB3B3B" w:rsidP="00FB3B3B">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FB3B3B">
        <w:rPr>
          <w:rFonts w:asciiTheme="majorBidi" w:hAnsiTheme="majorBidi" w:cstheme="majorBidi"/>
          <w:b/>
          <w:bCs/>
          <w:sz w:val="18"/>
          <w:szCs w:val="18"/>
          <w:rtl/>
        </w:rPr>
        <w:t>(مباحث في علوم القرآن)</w:t>
      </w:r>
    </w:p>
    <w:p w:rsidR="00FB3B3B" w:rsidRPr="00FB3B3B" w:rsidRDefault="00FB3B3B" w:rsidP="00FB3B3B">
      <w:pPr>
        <w:spacing w:after="120" w:line="240" w:lineRule="auto"/>
        <w:ind w:left="363" w:hanging="79"/>
        <w:jc w:val="both"/>
        <w:rPr>
          <w:rFonts w:asciiTheme="majorBidi" w:hAnsiTheme="majorBidi" w:cstheme="majorBidi"/>
          <w:b/>
          <w:bCs/>
          <w:sz w:val="18"/>
          <w:szCs w:val="18"/>
          <w:rtl/>
        </w:rPr>
      </w:pPr>
      <w:r w:rsidRPr="00FB3B3B">
        <w:rPr>
          <w:rFonts w:asciiTheme="majorBidi" w:hAnsiTheme="majorBidi" w:cstheme="majorBidi"/>
          <w:b/>
          <w:bCs/>
          <w:sz w:val="18"/>
          <w:szCs w:val="18"/>
          <w:rtl/>
        </w:rPr>
        <w:t>صبحي الصالح، دار العلم للملايين، 2002م.</w:t>
      </w:r>
    </w:p>
    <w:p w:rsidR="00FB3B3B" w:rsidRPr="00FB3B3B" w:rsidRDefault="00FB3B3B" w:rsidP="00FB3B3B">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FB3B3B">
        <w:rPr>
          <w:rFonts w:asciiTheme="majorBidi" w:hAnsiTheme="majorBidi" w:cstheme="majorBidi"/>
          <w:b/>
          <w:bCs/>
          <w:sz w:val="18"/>
          <w:szCs w:val="18"/>
          <w:rtl/>
        </w:rPr>
        <w:t>(مباحث في علوم القرآن)</w:t>
      </w:r>
    </w:p>
    <w:p w:rsidR="00FB3B3B" w:rsidRPr="00FB3B3B" w:rsidRDefault="00FB3B3B" w:rsidP="00FB3B3B">
      <w:pPr>
        <w:spacing w:after="120" w:line="240" w:lineRule="auto"/>
        <w:ind w:left="363" w:hanging="79"/>
        <w:jc w:val="both"/>
        <w:rPr>
          <w:rFonts w:asciiTheme="majorBidi" w:hAnsiTheme="majorBidi" w:cstheme="majorBidi"/>
          <w:b/>
          <w:bCs/>
          <w:sz w:val="18"/>
          <w:szCs w:val="18"/>
          <w:rtl/>
        </w:rPr>
      </w:pPr>
      <w:r w:rsidRPr="00FB3B3B">
        <w:rPr>
          <w:rFonts w:asciiTheme="majorBidi" w:hAnsiTheme="majorBidi" w:cstheme="majorBidi"/>
          <w:b/>
          <w:bCs/>
          <w:sz w:val="18"/>
          <w:szCs w:val="18"/>
          <w:rtl/>
        </w:rPr>
        <w:t>مناع خليل القطان، مؤسسة الرسالة للطباعة والنشر والتوزيع، 2000م.</w:t>
      </w:r>
    </w:p>
    <w:p w:rsidR="00FB3B3B" w:rsidRPr="00FB3B3B" w:rsidRDefault="00FB3B3B" w:rsidP="00FB3B3B">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FB3B3B">
        <w:rPr>
          <w:rFonts w:asciiTheme="majorBidi" w:hAnsiTheme="majorBidi" w:cstheme="majorBidi"/>
          <w:b/>
          <w:bCs/>
          <w:sz w:val="18"/>
          <w:szCs w:val="18"/>
          <w:rtl/>
        </w:rPr>
        <w:t>(المستدرك على الصحيحين)</w:t>
      </w:r>
    </w:p>
    <w:p w:rsidR="00FB3B3B" w:rsidRPr="00FB3B3B" w:rsidRDefault="00FB3B3B" w:rsidP="00FB3B3B">
      <w:pPr>
        <w:spacing w:after="120" w:line="240" w:lineRule="auto"/>
        <w:ind w:left="363" w:hanging="79"/>
        <w:jc w:val="both"/>
        <w:rPr>
          <w:rFonts w:asciiTheme="majorBidi" w:hAnsiTheme="majorBidi" w:cstheme="majorBidi"/>
          <w:b/>
          <w:bCs/>
          <w:sz w:val="18"/>
          <w:szCs w:val="18"/>
          <w:rtl/>
        </w:rPr>
      </w:pPr>
      <w:r w:rsidRPr="00FB3B3B">
        <w:rPr>
          <w:rFonts w:asciiTheme="majorBidi" w:hAnsiTheme="majorBidi" w:cstheme="majorBidi"/>
          <w:b/>
          <w:bCs/>
          <w:sz w:val="18"/>
          <w:szCs w:val="18"/>
          <w:rtl/>
        </w:rPr>
        <w:t>محمد بن عبد الله الحاكم النيسابوري، دار الكتب العلمية، 1990م.</w:t>
      </w:r>
    </w:p>
    <w:p w:rsidR="00FB3B3B" w:rsidRPr="00FB3B3B" w:rsidRDefault="00FB3B3B" w:rsidP="00FB3B3B">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FB3B3B">
        <w:rPr>
          <w:rFonts w:asciiTheme="majorBidi" w:hAnsiTheme="majorBidi" w:cstheme="majorBidi"/>
          <w:b/>
          <w:bCs/>
          <w:sz w:val="18"/>
          <w:szCs w:val="18"/>
          <w:rtl/>
        </w:rPr>
        <w:t>(مناهل العرفان)</w:t>
      </w:r>
    </w:p>
    <w:p w:rsidR="00FB3B3B" w:rsidRPr="00FB3B3B" w:rsidRDefault="00FB3B3B" w:rsidP="00FB3B3B">
      <w:pPr>
        <w:spacing w:after="120" w:line="240" w:lineRule="auto"/>
        <w:ind w:left="363" w:hanging="79"/>
        <w:jc w:val="both"/>
        <w:rPr>
          <w:rFonts w:asciiTheme="majorBidi" w:hAnsiTheme="majorBidi" w:cstheme="majorBidi"/>
          <w:b/>
          <w:bCs/>
          <w:sz w:val="18"/>
          <w:szCs w:val="18"/>
        </w:rPr>
      </w:pPr>
      <w:r w:rsidRPr="00FB3B3B">
        <w:rPr>
          <w:rFonts w:asciiTheme="majorBidi" w:hAnsiTheme="majorBidi" w:cstheme="majorBidi"/>
          <w:b/>
          <w:bCs/>
          <w:sz w:val="18"/>
          <w:szCs w:val="18"/>
          <w:rtl/>
        </w:rPr>
        <w:t>محمد بن عبد العظيم الزرقاني، دار الكتب العلمية، 2003م.</w:t>
      </w:r>
    </w:p>
    <w:p w:rsidR="00FB3B3B" w:rsidRPr="00FB3B3B" w:rsidRDefault="00FB3B3B" w:rsidP="00FB3B3B">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FB3B3B">
        <w:rPr>
          <w:rFonts w:asciiTheme="majorBidi" w:hAnsiTheme="majorBidi" w:cstheme="majorBidi"/>
          <w:b/>
          <w:bCs/>
          <w:sz w:val="18"/>
          <w:szCs w:val="18"/>
          <w:rtl/>
        </w:rPr>
        <w:t>(التبيان في تفسير غريب القرآن)</w:t>
      </w:r>
    </w:p>
    <w:p w:rsidR="00FB3B3B" w:rsidRPr="00FB3B3B" w:rsidRDefault="00FB3B3B" w:rsidP="00FB3B3B">
      <w:pPr>
        <w:spacing w:after="120" w:line="240" w:lineRule="auto"/>
        <w:ind w:left="363" w:hanging="79"/>
        <w:jc w:val="both"/>
        <w:rPr>
          <w:rFonts w:asciiTheme="majorBidi" w:hAnsiTheme="majorBidi" w:cstheme="majorBidi"/>
          <w:b/>
          <w:bCs/>
          <w:sz w:val="18"/>
          <w:szCs w:val="18"/>
          <w:rtl/>
        </w:rPr>
      </w:pPr>
      <w:r w:rsidRPr="00FB3B3B">
        <w:rPr>
          <w:rFonts w:asciiTheme="majorBidi" w:hAnsiTheme="majorBidi" w:cstheme="majorBidi"/>
          <w:b/>
          <w:bCs/>
          <w:sz w:val="18"/>
          <w:szCs w:val="18"/>
          <w:rtl/>
        </w:rPr>
        <w:t>شهاب الدين أحمد بن محمد الهائم المصري، المكتبة المحمودية، 1960م.</w:t>
      </w:r>
    </w:p>
    <w:p w:rsidR="00FB3B3B" w:rsidRPr="00FB3B3B" w:rsidRDefault="00FB3B3B" w:rsidP="00FB3B3B">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FB3B3B">
        <w:rPr>
          <w:rFonts w:asciiTheme="majorBidi" w:hAnsiTheme="majorBidi" w:cstheme="majorBidi"/>
          <w:b/>
          <w:bCs/>
          <w:sz w:val="18"/>
          <w:szCs w:val="18"/>
          <w:rtl/>
        </w:rPr>
        <w:lastRenderedPageBreak/>
        <w:t>(دلائل الإعجاز)</w:t>
      </w:r>
    </w:p>
    <w:p w:rsidR="00FB3B3B" w:rsidRPr="00FB3B3B" w:rsidRDefault="00FB3B3B" w:rsidP="00FB3B3B">
      <w:pPr>
        <w:spacing w:after="120" w:line="240" w:lineRule="auto"/>
        <w:ind w:left="363" w:hanging="79"/>
        <w:jc w:val="both"/>
        <w:rPr>
          <w:rFonts w:asciiTheme="majorBidi" w:hAnsiTheme="majorBidi" w:cstheme="majorBidi"/>
          <w:b/>
          <w:bCs/>
          <w:sz w:val="18"/>
          <w:szCs w:val="18"/>
          <w:rtl/>
        </w:rPr>
      </w:pPr>
      <w:r w:rsidRPr="00FB3B3B">
        <w:rPr>
          <w:rFonts w:asciiTheme="majorBidi" w:hAnsiTheme="majorBidi" w:cstheme="majorBidi"/>
          <w:b/>
          <w:bCs/>
          <w:sz w:val="18"/>
          <w:szCs w:val="18"/>
          <w:rtl/>
        </w:rPr>
        <w:t>عبد القاهر الجرجاني، دار الكتب العلمية، 1988م.</w:t>
      </w:r>
    </w:p>
    <w:p w:rsidR="00FB3B3B" w:rsidRPr="00FB3B3B" w:rsidRDefault="00FB3B3B" w:rsidP="00FB3B3B">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FB3B3B">
        <w:rPr>
          <w:rFonts w:asciiTheme="majorBidi" w:hAnsiTheme="majorBidi" w:cstheme="majorBidi"/>
          <w:b/>
          <w:bCs/>
          <w:sz w:val="18"/>
          <w:szCs w:val="18"/>
          <w:rtl/>
        </w:rPr>
        <w:t>(فهم القرآن)</w:t>
      </w:r>
    </w:p>
    <w:p w:rsidR="00FB3B3B" w:rsidRPr="00FB3B3B" w:rsidRDefault="00FB3B3B" w:rsidP="00FB3B3B">
      <w:pPr>
        <w:spacing w:after="120" w:line="240" w:lineRule="auto"/>
        <w:ind w:left="363" w:hanging="79"/>
        <w:jc w:val="both"/>
        <w:rPr>
          <w:rFonts w:asciiTheme="majorBidi" w:hAnsiTheme="majorBidi" w:cstheme="majorBidi"/>
          <w:b/>
          <w:bCs/>
          <w:sz w:val="18"/>
          <w:szCs w:val="18"/>
          <w:rtl/>
        </w:rPr>
      </w:pPr>
      <w:r w:rsidRPr="00FB3B3B">
        <w:rPr>
          <w:rFonts w:asciiTheme="majorBidi" w:hAnsiTheme="majorBidi" w:cstheme="majorBidi"/>
          <w:b/>
          <w:bCs/>
          <w:sz w:val="18"/>
          <w:szCs w:val="18"/>
          <w:rtl/>
        </w:rPr>
        <w:t>الحارث بن أسد المحاسبي، دار الكندي للطباعة والنشر، 1982م.</w:t>
      </w:r>
    </w:p>
    <w:p w:rsidR="00FB3B3B" w:rsidRPr="00FB3B3B" w:rsidRDefault="00FB3B3B" w:rsidP="00FB3B3B">
      <w:pPr>
        <w:widowControl w:val="0"/>
        <w:numPr>
          <w:ilvl w:val="0"/>
          <w:numId w:val="1"/>
        </w:numPr>
        <w:tabs>
          <w:tab w:val="clear" w:pos="6"/>
        </w:tabs>
        <w:spacing w:after="120" w:line="240" w:lineRule="auto"/>
        <w:ind w:left="363"/>
        <w:jc w:val="both"/>
        <w:rPr>
          <w:rFonts w:asciiTheme="majorBidi" w:hAnsiTheme="majorBidi" w:cstheme="majorBidi"/>
          <w:b/>
          <w:bCs/>
          <w:sz w:val="18"/>
          <w:szCs w:val="18"/>
        </w:rPr>
      </w:pPr>
      <w:r w:rsidRPr="00FB3B3B">
        <w:rPr>
          <w:rFonts w:asciiTheme="majorBidi" w:hAnsiTheme="majorBidi" w:cstheme="majorBidi"/>
          <w:b/>
          <w:bCs/>
          <w:sz w:val="18"/>
          <w:szCs w:val="18"/>
          <w:rtl/>
        </w:rPr>
        <w:t>(نفائس البيان شرح الفرائد الحسان في عد آي القرآن)</w:t>
      </w:r>
    </w:p>
    <w:p w:rsidR="00FB3B3B" w:rsidRPr="00FB3B3B" w:rsidRDefault="00FB3B3B" w:rsidP="00FB3B3B">
      <w:pPr>
        <w:spacing w:after="120" w:line="240" w:lineRule="auto"/>
        <w:ind w:left="363" w:hanging="79"/>
        <w:jc w:val="lowKashida"/>
        <w:rPr>
          <w:rFonts w:asciiTheme="majorBidi" w:hAnsiTheme="majorBidi" w:cstheme="majorBidi"/>
          <w:b/>
          <w:bCs/>
          <w:sz w:val="18"/>
          <w:szCs w:val="18"/>
        </w:rPr>
      </w:pPr>
      <w:r w:rsidRPr="00FB3B3B">
        <w:rPr>
          <w:rFonts w:asciiTheme="majorBidi" w:hAnsiTheme="majorBidi" w:cstheme="majorBidi"/>
          <w:b/>
          <w:bCs/>
          <w:sz w:val="18"/>
          <w:szCs w:val="18"/>
          <w:rtl/>
        </w:rPr>
        <w:t>الشيخ عبد الفتاح القاضي، مطبعة عيسى البابي الحلبي، ١٣٥٥هـ.</w:t>
      </w:r>
    </w:p>
    <w:p w:rsidR="00FB3B3B" w:rsidRPr="00FB3B3B" w:rsidRDefault="00FB3B3B" w:rsidP="00FB3B3B">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FB3B3B">
        <w:rPr>
          <w:rFonts w:asciiTheme="majorBidi" w:hAnsiTheme="majorBidi" w:cstheme="majorBidi"/>
          <w:b/>
          <w:bCs/>
          <w:sz w:val="18"/>
          <w:szCs w:val="18"/>
          <w:rtl/>
        </w:rPr>
        <w:t>(الأصلان في علوم القرآن)</w:t>
      </w:r>
    </w:p>
    <w:p w:rsidR="00FB3B3B" w:rsidRPr="00FB3B3B" w:rsidRDefault="00FB3B3B" w:rsidP="00FB3B3B">
      <w:pPr>
        <w:spacing w:after="120" w:line="240" w:lineRule="auto"/>
        <w:ind w:left="363" w:hanging="79"/>
        <w:jc w:val="lowKashida"/>
        <w:rPr>
          <w:rFonts w:asciiTheme="majorBidi" w:hAnsiTheme="majorBidi" w:cstheme="majorBidi"/>
          <w:b/>
          <w:bCs/>
          <w:sz w:val="18"/>
          <w:szCs w:val="18"/>
        </w:rPr>
      </w:pPr>
      <w:r w:rsidRPr="00FB3B3B">
        <w:rPr>
          <w:rFonts w:asciiTheme="majorBidi" w:hAnsiTheme="majorBidi" w:cstheme="majorBidi"/>
          <w:b/>
          <w:bCs/>
          <w:sz w:val="18"/>
          <w:szCs w:val="18"/>
          <w:rtl/>
        </w:rPr>
        <w:t>محمد عبد المنعم القيعي، طبعة المكتبات الأزهرية، ١٩٨٠م.</w:t>
      </w:r>
    </w:p>
    <w:p w:rsidR="00FB3B3B" w:rsidRPr="00FB3B3B" w:rsidRDefault="00FB3B3B" w:rsidP="00FB3B3B">
      <w:pPr>
        <w:widowControl w:val="0"/>
        <w:numPr>
          <w:ilvl w:val="0"/>
          <w:numId w:val="1"/>
        </w:numPr>
        <w:tabs>
          <w:tab w:val="clear" w:pos="6"/>
        </w:tabs>
        <w:spacing w:after="120" w:line="240" w:lineRule="auto"/>
        <w:ind w:left="363"/>
        <w:jc w:val="both"/>
        <w:rPr>
          <w:rFonts w:asciiTheme="majorBidi" w:hAnsiTheme="majorBidi" w:cstheme="majorBidi"/>
          <w:b/>
          <w:bCs/>
          <w:sz w:val="18"/>
          <w:szCs w:val="18"/>
        </w:rPr>
      </w:pPr>
      <w:r w:rsidRPr="00FB3B3B">
        <w:rPr>
          <w:rFonts w:asciiTheme="majorBidi" w:hAnsiTheme="majorBidi" w:cstheme="majorBidi"/>
          <w:b/>
          <w:bCs/>
          <w:sz w:val="18"/>
          <w:szCs w:val="18"/>
          <w:rtl/>
        </w:rPr>
        <w:t>(مختصر في قواعد التفسير)</w:t>
      </w:r>
    </w:p>
    <w:p w:rsidR="00FB3B3B" w:rsidRPr="00FB3B3B" w:rsidRDefault="00FB3B3B" w:rsidP="00FB3B3B">
      <w:pPr>
        <w:spacing w:after="120" w:line="240" w:lineRule="auto"/>
        <w:ind w:left="363" w:hanging="79"/>
        <w:jc w:val="lowKashida"/>
        <w:rPr>
          <w:rFonts w:asciiTheme="majorBidi" w:hAnsiTheme="majorBidi" w:cstheme="majorBidi"/>
          <w:b/>
          <w:bCs/>
          <w:sz w:val="18"/>
          <w:szCs w:val="18"/>
        </w:rPr>
      </w:pPr>
      <w:r w:rsidRPr="00FB3B3B">
        <w:rPr>
          <w:rFonts w:asciiTheme="majorBidi" w:hAnsiTheme="majorBidi" w:cstheme="majorBidi"/>
          <w:b/>
          <w:bCs/>
          <w:sz w:val="18"/>
          <w:szCs w:val="18"/>
          <w:rtl/>
        </w:rPr>
        <w:lastRenderedPageBreak/>
        <w:t>خالد السبت، مطبعة ابن الجوزي، ١٤٢٣هـ.</w:t>
      </w:r>
    </w:p>
    <w:p w:rsidR="00FB3B3B" w:rsidRPr="00FB3B3B" w:rsidRDefault="00FB3B3B" w:rsidP="00FB3B3B">
      <w:pPr>
        <w:widowControl w:val="0"/>
        <w:numPr>
          <w:ilvl w:val="0"/>
          <w:numId w:val="1"/>
        </w:numPr>
        <w:tabs>
          <w:tab w:val="clear" w:pos="6"/>
        </w:tabs>
        <w:spacing w:after="120" w:line="240" w:lineRule="auto"/>
        <w:ind w:left="363"/>
        <w:jc w:val="both"/>
        <w:rPr>
          <w:rFonts w:asciiTheme="majorBidi" w:hAnsiTheme="majorBidi" w:cstheme="majorBidi"/>
          <w:b/>
          <w:bCs/>
          <w:sz w:val="18"/>
          <w:szCs w:val="18"/>
        </w:rPr>
      </w:pPr>
      <w:r w:rsidRPr="00FB3B3B">
        <w:rPr>
          <w:rFonts w:asciiTheme="majorBidi" w:hAnsiTheme="majorBidi" w:cstheme="majorBidi"/>
          <w:b/>
          <w:bCs/>
          <w:sz w:val="18"/>
          <w:szCs w:val="18"/>
          <w:rtl/>
        </w:rPr>
        <w:t>(الصحيح المسند من أسباب النزول)</w:t>
      </w:r>
    </w:p>
    <w:p w:rsidR="00FB3B3B" w:rsidRPr="00FB3B3B" w:rsidRDefault="00FB3B3B" w:rsidP="00FB3B3B">
      <w:pPr>
        <w:spacing w:after="120" w:line="240" w:lineRule="auto"/>
        <w:ind w:left="363" w:hanging="79"/>
        <w:jc w:val="lowKashida"/>
        <w:rPr>
          <w:rFonts w:asciiTheme="majorBidi" w:hAnsiTheme="majorBidi" w:cstheme="majorBidi"/>
          <w:b/>
          <w:bCs/>
          <w:sz w:val="18"/>
          <w:szCs w:val="18"/>
          <w:rtl/>
        </w:rPr>
      </w:pPr>
      <w:r w:rsidRPr="00FB3B3B">
        <w:rPr>
          <w:rFonts w:asciiTheme="majorBidi" w:hAnsiTheme="majorBidi" w:cstheme="majorBidi"/>
          <w:b/>
          <w:bCs/>
          <w:sz w:val="18"/>
          <w:szCs w:val="18"/>
          <w:rtl/>
        </w:rPr>
        <w:t>مقبل بن هادي الوادعي، الرياض،  مكتبة المعارف، 1400هـ.</w:t>
      </w:r>
    </w:p>
    <w:p w:rsidR="00FB3B3B" w:rsidRPr="00FB3B3B" w:rsidRDefault="00FB3B3B" w:rsidP="00FB3B3B">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FB3B3B">
        <w:rPr>
          <w:rFonts w:asciiTheme="majorBidi" w:hAnsiTheme="majorBidi" w:cstheme="majorBidi"/>
          <w:b/>
          <w:bCs/>
          <w:sz w:val="18"/>
          <w:szCs w:val="18"/>
          <w:rtl/>
        </w:rPr>
        <w:t>(موسوعة فضائل سور وآيات القرآن)</w:t>
      </w:r>
    </w:p>
    <w:p w:rsidR="00FB3B3B" w:rsidRPr="00FB3B3B" w:rsidRDefault="00FB3B3B" w:rsidP="00FB3B3B">
      <w:pPr>
        <w:spacing w:after="120" w:line="240" w:lineRule="auto"/>
        <w:ind w:left="363" w:hanging="79"/>
        <w:jc w:val="lowKashida"/>
        <w:rPr>
          <w:rFonts w:asciiTheme="majorBidi" w:hAnsiTheme="majorBidi" w:cstheme="majorBidi"/>
          <w:b/>
          <w:bCs/>
          <w:sz w:val="18"/>
          <w:szCs w:val="18"/>
          <w:rtl/>
        </w:rPr>
      </w:pPr>
      <w:r w:rsidRPr="00FB3B3B">
        <w:rPr>
          <w:rFonts w:asciiTheme="majorBidi" w:hAnsiTheme="majorBidi" w:cstheme="majorBidi"/>
          <w:b/>
          <w:bCs/>
          <w:sz w:val="18"/>
          <w:szCs w:val="18"/>
          <w:rtl/>
        </w:rPr>
        <w:t>محمد بن رزق الطرهوني، مكتبة العلم، 1994م.</w:t>
      </w:r>
    </w:p>
    <w:p w:rsidR="00FB3B3B" w:rsidRPr="00FB3B3B" w:rsidRDefault="00FB3B3B" w:rsidP="00FB3B3B">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FB3B3B">
        <w:rPr>
          <w:rFonts w:asciiTheme="majorBidi" w:hAnsiTheme="majorBidi" w:cstheme="majorBidi"/>
          <w:b/>
          <w:bCs/>
          <w:sz w:val="18"/>
          <w:szCs w:val="18"/>
          <w:rtl/>
        </w:rPr>
        <w:t>(سنن القرّاء ومناهج المجوّدين)</w:t>
      </w:r>
    </w:p>
    <w:p w:rsidR="00FB3B3B" w:rsidRPr="00FB3B3B" w:rsidRDefault="00FB3B3B" w:rsidP="00FB3B3B">
      <w:pPr>
        <w:spacing w:after="120" w:line="240" w:lineRule="auto"/>
        <w:ind w:left="363" w:hanging="79"/>
        <w:jc w:val="lowKashida"/>
        <w:rPr>
          <w:rFonts w:asciiTheme="majorBidi" w:hAnsiTheme="majorBidi" w:cstheme="majorBidi"/>
          <w:b/>
          <w:bCs/>
          <w:sz w:val="18"/>
          <w:szCs w:val="18"/>
        </w:rPr>
      </w:pPr>
      <w:r w:rsidRPr="00FB3B3B">
        <w:rPr>
          <w:rFonts w:asciiTheme="majorBidi" w:hAnsiTheme="majorBidi" w:cstheme="majorBidi"/>
          <w:b/>
          <w:bCs/>
          <w:sz w:val="18"/>
          <w:szCs w:val="18"/>
          <w:rtl/>
        </w:rPr>
        <w:t>عبد العزيز القارئ، مكتبة الدار للنشر والتوزيع، 2000م.</w:t>
      </w:r>
    </w:p>
    <w:p w:rsidR="00FB3B3B" w:rsidRPr="00FB3B3B" w:rsidRDefault="00FB3B3B" w:rsidP="00FB3B3B">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FB3B3B">
        <w:rPr>
          <w:rFonts w:asciiTheme="majorBidi" w:hAnsiTheme="majorBidi" w:cstheme="majorBidi"/>
          <w:b/>
          <w:bCs/>
          <w:sz w:val="18"/>
          <w:szCs w:val="18"/>
          <w:rtl/>
        </w:rPr>
        <w:t>(النشر في القراءات العشر)</w:t>
      </w:r>
    </w:p>
    <w:p w:rsidR="00FB3B3B" w:rsidRPr="00FB3B3B" w:rsidRDefault="00FB3B3B" w:rsidP="00FB3B3B">
      <w:pPr>
        <w:spacing w:line="240" w:lineRule="auto"/>
        <w:jc w:val="both"/>
        <w:rPr>
          <w:rFonts w:asciiTheme="majorBidi" w:hAnsiTheme="majorBidi" w:cstheme="majorBidi"/>
          <w:b/>
          <w:bCs/>
          <w:sz w:val="18"/>
          <w:szCs w:val="18"/>
          <w:rtl/>
        </w:rPr>
      </w:pPr>
      <w:r w:rsidRPr="00FB3B3B">
        <w:rPr>
          <w:rFonts w:asciiTheme="majorBidi" w:hAnsiTheme="majorBidi" w:cstheme="majorBidi"/>
          <w:b/>
          <w:bCs/>
          <w:sz w:val="18"/>
          <w:szCs w:val="18"/>
          <w:rtl/>
        </w:rPr>
        <w:t>محمد بن الجزري، المكتبة التجارية الكبرى، 1970م.</w:t>
      </w:r>
    </w:p>
    <w:p w:rsidR="00FB3B3B" w:rsidRDefault="00FB3B3B" w:rsidP="00FB3B3B">
      <w:pPr>
        <w:rPr>
          <w:rFonts w:asciiTheme="majorBidi" w:hAnsiTheme="majorBidi" w:cstheme="majorBidi"/>
          <w:sz w:val="18"/>
          <w:szCs w:val="18"/>
          <w:rtl/>
        </w:rPr>
        <w:sectPr w:rsidR="00FB3B3B" w:rsidSect="00FB3B3B">
          <w:type w:val="continuous"/>
          <w:pgSz w:w="11906" w:h="16838"/>
          <w:pgMar w:top="1440" w:right="1440" w:bottom="1440" w:left="1440" w:header="720" w:footer="720" w:gutter="0"/>
          <w:cols w:num="2" w:space="720"/>
          <w:bidi/>
          <w:rtlGutter/>
          <w:docGrid w:linePitch="360"/>
        </w:sectPr>
      </w:pPr>
    </w:p>
    <w:p w:rsidR="00FB3B3B" w:rsidRPr="00FB3B3B" w:rsidRDefault="00FB3B3B" w:rsidP="00FB3B3B">
      <w:pPr>
        <w:rPr>
          <w:rFonts w:asciiTheme="majorBidi" w:hAnsiTheme="majorBidi" w:cstheme="majorBidi"/>
          <w:sz w:val="18"/>
          <w:szCs w:val="18"/>
        </w:rPr>
      </w:pPr>
    </w:p>
    <w:sectPr w:rsidR="00FB3B3B" w:rsidRPr="00FB3B3B" w:rsidSect="00FB3B3B">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Rasheeq Bold">
    <w:altName w:val="Times New Roman"/>
    <w:charset w:val="B2"/>
    <w:family w:val="auto"/>
    <w:pitch w:val="variable"/>
    <w:sig w:usb0="00002000"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616F0"/>
    <w:multiLevelType w:val="hybridMultilevel"/>
    <w:tmpl w:val="6E2614BE"/>
    <w:lvl w:ilvl="0" w:tplc="1BB2DDB4">
      <w:start w:val="1"/>
      <w:numFmt w:val="bullet"/>
      <w:lvlText w:val=""/>
      <w:lvlJc w:val="center"/>
      <w:pPr>
        <w:ind w:left="1183" w:hanging="360"/>
      </w:pPr>
      <w:rPr>
        <w:rFonts w:ascii="Symbol" w:hAnsi="Symbol" w:cs="Symbol" w:hint="default"/>
      </w:rPr>
    </w:lvl>
    <w:lvl w:ilvl="1" w:tplc="04090003" w:tentative="1">
      <w:start w:val="1"/>
      <w:numFmt w:val="bullet"/>
      <w:lvlText w:val="o"/>
      <w:lvlJc w:val="left"/>
      <w:pPr>
        <w:ind w:left="1903" w:hanging="360"/>
      </w:pPr>
      <w:rPr>
        <w:rFonts w:ascii="Courier New" w:hAnsi="Courier New" w:cs="Courier New" w:hint="default"/>
      </w:rPr>
    </w:lvl>
    <w:lvl w:ilvl="2" w:tplc="04090005" w:tentative="1">
      <w:start w:val="1"/>
      <w:numFmt w:val="bullet"/>
      <w:lvlText w:val=""/>
      <w:lvlJc w:val="left"/>
      <w:pPr>
        <w:ind w:left="2623" w:hanging="360"/>
      </w:pPr>
      <w:rPr>
        <w:rFonts w:ascii="Wingdings" w:hAnsi="Wingdings" w:hint="default"/>
      </w:rPr>
    </w:lvl>
    <w:lvl w:ilvl="3" w:tplc="04090001" w:tentative="1">
      <w:start w:val="1"/>
      <w:numFmt w:val="bullet"/>
      <w:lvlText w:val=""/>
      <w:lvlJc w:val="left"/>
      <w:pPr>
        <w:ind w:left="3343" w:hanging="360"/>
      </w:pPr>
      <w:rPr>
        <w:rFonts w:ascii="Symbol" w:hAnsi="Symbol" w:hint="default"/>
      </w:rPr>
    </w:lvl>
    <w:lvl w:ilvl="4" w:tplc="04090003" w:tentative="1">
      <w:start w:val="1"/>
      <w:numFmt w:val="bullet"/>
      <w:lvlText w:val="o"/>
      <w:lvlJc w:val="left"/>
      <w:pPr>
        <w:ind w:left="4063" w:hanging="360"/>
      </w:pPr>
      <w:rPr>
        <w:rFonts w:ascii="Courier New" w:hAnsi="Courier New" w:cs="Courier New" w:hint="default"/>
      </w:rPr>
    </w:lvl>
    <w:lvl w:ilvl="5" w:tplc="04090005" w:tentative="1">
      <w:start w:val="1"/>
      <w:numFmt w:val="bullet"/>
      <w:lvlText w:val=""/>
      <w:lvlJc w:val="left"/>
      <w:pPr>
        <w:ind w:left="4783" w:hanging="360"/>
      </w:pPr>
      <w:rPr>
        <w:rFonts w:ascii="Wingdings" w:hAnsi="Wingdings" w:hint="default"/>
      </w:rPr>
    </w:lvl>
    <w:lvl w:ilvl="6" w:tplc="04090001" w:tentative="1">
      <w:start w:val="1"/>
      <w:numFmt w:val="bullet"/>
      <w:lvlText w:val=""/>
      <w:lvlJc w:val="left"/>
      <w:pPr>
        <w:ind w:left="5503" w:hanging="360"/>
      </w:pPr>
      <w:rPr>
        <w:rFonts w:ascii="Symbol" w:hAnsi="Symbol" w:hint="default"/>
      </w:rPr>
    </w:lvl>
    <w:lvl w:ilvl="7" w:tplc="04090003" w:tentative="1">
      <w:start w:val="1"/>
      <w:numFmt w:val="bullet"/>
      <w:lvlText w:val="o"/>
      <w:lvlJc w:val="left"/>
      <w:pPr>
        <w:ind w:left="6223" w:hanging="360"/>
      </w:pPr>
      <w:rPr>
        <w:rFonts w:ascii="Courier New" w:hAnsi="Courier New" w:cs="Courier New" w:hint="default"/>
      </w:rPr>
    </w:lvl>
    <w:lvl w:ilvl="8" w:tplc="04090005" w:tentative="1">
      <w:start w:val="1"/>
      <w:numFmt w:val="bullet"/>
      <w:lvlText w:val=""/>
      <w:lvlJc w:val="left"/>
      <w:pPr>
        <w:ind w:left="6943" w:hanging="360"/>
      </w:pPr>
      <w:rPr>
        <w:rFonts w:ascii="Wingdings" w:hAnsi="Wingdings" w:hint="default"/>
      </w:rPr>
    </w:lvl>
  </w:abstractNum>
  <w:abstractNum w:abstractNumId="1">
    <w:nsid w:val="4A461ED3"/>
    <w:multiLevelType w:val="hybridMultilevel"/>
    <w:tmpl w:val="893C6592"/>
    <w:lvl w:ilvl="0" w:tplc="94D654B6">
      <w:start w:val="1"/>
      <w:numFmt w:val="decimal"/>
      <w:lvlRestart w:val="0"/>
      <w:lvlText w:val="%1."/>
      <w:lvlJc w:val="left"/>
      <w:pPr>
        <w:tabs>
          <w:tab w:val="num" w:pos="6"/>
        </w:tabs>
        <w:ind w:left="714"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92C5D98"/>
    <w:multiLevelType w:val="hybridMultilevel"/>
    <w:tmpl w:val="CB061E18"/>
    <w:lvl w:ilvl="0" w:tplc="46886728">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FB3B3B"/>
    <w:rsid w:val="005C15CC"/>
    <w:rsid w:val="00E964D6"/>
    <w:rsid w:val="00E97E43"/>
    <w:rsid w:val="00F20891"/>
    <w:rsid w:val="00FB3B3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E4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FB3B3B"/>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FB3B3B"/>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uiPriority w:val="34"/>
    <w:qFormat/>
    <w:rsid w:val="00FB3B3B"/>
    <w:pPr>
      <w:ind w:left="720"/>
      <w:contextualSpacing/>
    </w:pPr>
  </w:style>
  <w:style w:type="character" w:styleId="Hyperlink">
    <w:name w:val="Hyperlink"/>
    <w:basedOn w:val="DefaultParagraphFont"/>
    <w:rsid w:val="00E964D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nna.Magdy@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612</Words>
  <Characters>3493</Characters>
  <Application>Microsoft Office Word</Application>
  <DocSecurity>0</DocSecurity>
  <Lines>29</Lines>
  <Paragraphs>8</Paragraphs>
  <ScaleCrop>false</ScaleCrop>
  <Company/>
  <LinksUpToDate>false</LinksUpToDate>
  <CharactersWithSpaces>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User</cp:lastModifiedBy>
  <cp:revision>2</cp:revision>
  <dcterms:created xsi:type="dcterms:W3CDTF">2013-06-04T11:07:00Z</dcterms:created>
  <dcterms:modified xsi:type="dcterms:W3CDTF">2013-06-24T11:06:00Z</dcterms:modified>
</cp:coreProperties>
</file>