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C" w:rsidRPr="00A0034C" w:rsidRDefault="00A0034C" w:rsidP="00A0034C">
      <w:pPr>
        <w:jc w:val="center"/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eastAsia="Calibri" w:hAnsiTheme="majorBidi" w:cstheme="majorBidi"/>
          <w:sz w:val="48"/>
          <w:szCs w:val="48"/>
          <w:rtl/>
        </w:rPr>
        <w:t>ما يتعلق بالألفا</w:t>
      </w:r>
      <w:r>
        <w:rPr>
          <w:rFonts w:asciiTheme="majorBidi" w:eastAsia="Calibri" w:hAnsiTheme="majorBidi" w:cstheme="majorBidi" w:hint="cs"/>
          <w:sz w:val="48"/>
          <w:szCs w:val="48"/>
          <w:rtl/>
        </w:rPr>
        <w:t>ظ</w:t>
      </w:r>
      <w:r w:rsidRPr="00A0034C">
        <w:rPr>
          <w:rFonts w:asciiTheme="majorBidi" w:hAnsiTheme="majorBidi" w:cstheme="majorBidi"/>
          <w:sz w:val="48"/>
          <w:szCs w:val="48"/>
          <w:rtl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rtl/>
        </w:rPr>
        <w:t xml:space="preserve"> (</w:t>
      </w:r>
      <w:r w:rsidR="002C31A3" w:rsidRPr="00A0034C">
        <w:rPr>
          <w:rFonts w:cs="AL-Mateen" w:hint="eastAsia"/>
          <w:sz w:val="48"/>
          <w:szCs w:val="48"/>
          <w:rtl/>
        </w:rPr>
        <w:t>تشبيهه</w:t>
      </w:r>
      <w:r w:rsidR="002C31A3" w:rsidRPr="00A0034C">
        <w:rPr>
          <w:rFonts w:cs="AL-Mateen"/>
          <w:sz w:val="48"/>
          <w:szCs w:val="48"/>
          <w:rtl/>
        </w:rPr>
        <w:t xml:space="preserve"> </w:t>
      </w:r>
      <w:r w:rsidR="002C31A3" w:rsidRPr="00A0034C">
        <w:rPr>
          <w:rFonts w:cs="AL-Mateen" w:hint="eastAsia"/>
          <w:sz w:val="48"/>
          <w:szCs w:val="48"/>
          <w:rtl/>
        </w:rPr>
        <w:t>واستعارته</w:t>
      </w:r>
      <w:r>
        <w:rPr>
          <w:rFonts w:asciiTheme="majorBidi" w:hAnsiTheme="majorBidi" w:cstheme="majorBidi" w:hint="cs"/>
          <w:sz w:val="48"/>
          <w:szCs w:val="48"/>
          <w:rtl/>
        </w:rPr>
        <w:t>)</w:t>
      </w:r>
    </w:p>
    <w:p w:rsidR="002C31A3" w:rsidRPr="007E1CFD" w:rsidRDefault="002C31A3" w:rsidP="002C31A3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2C31A3" w:rsidRPr="00541D04" w:rsidRDefault="002C31A3" w:rsidP="00541D04">
      <w:pPr>
        <w:pStyle w:val="Author"/>
        <w:bidi/>
        <w:rPr>
          <w:i/>
          <w:iCs/>
          <w:sz w:val="20"/>
          <w:szCs w:val="20"/>
          <w:lang w:eastAsia="zh-CN"/>
        </w:rPr>
      </w:pPr>
      <w:r w:rsidRPr="00541D04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541D04" w:rsidRPr="00541D04">
        <w:rPr>
          <w:i/>
          <w:iCs/>
          <w:sz w:val="20"/>
          <w:szCs w:val="20"/>
          <w:rtl/>
          <w:lang w:eastAsia="zh-CN"/>
        </w:rPr>
        <w:t xml:space="preserve">أيمن محمد أبوبكر  </w:t>
      </w:r>
    </w:p>
    <w:p w:rsidR="002C31A3" w:rsidRPr="00541D04" w:rsidRDefault="002C31A3" w:rsidP="002C31A3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2C31A3" w:rsidRPr="00541D04" w:rsidRDefault="002C31A3" w:rsidP="002C31A3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541D04">
        <w:rPr>
          <w:i/>
          <w:iCs/>
        </w:rPr>
        <w:t xml:space="preserve"> </w:t>
      </w:r>
    </w:p>
    <w:p w:rsidR="002C31A3" w:rsidRPr="00541D04" w:rsidRDefault="002C31A3" w:rsidP="002C31A3">
      <w:pPr>
        <w:pStyle w:val="Affiliation"/>
        <w:bidi/>
        <w:rPr>
          <w:i/>
          <w:iCs/>
          <w:rtl/>
        </w:rPr>
      </w:pPr>
      <w:r w:rsidRPr="00541D04">
        <w:rPr>
          <w:rFonts w:hint="cs"/>
          <w:i/>
          <w:iCs/>
          <w:rtl/>
        </w:rPr>
        <w:t>شاه علم - ماليزيا</w:t>
      </w:r>
    </w:p>
    <w:p w:rsidR="002C31A3" w:rsidRPr="00541D04" w:rsidRDefault="00541D04" w:rsidP="00541D04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2C31A3" w:rsidRPr="00541D04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541D04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ayman.abobakr@mediu.ws</w:t>
      </w:r>
    </w:p>
    <w:p w:rsidR="002C31A3" w:rsidRPr="002C31A3" w:rsidRDefault="002C31A3" w:rsidP="002C31A3">
      <w:pPr>
        <w:rPr>
          <w:b/>
          <w:bCs/>
          <w:sz w:val="18"/>
          <w:szCs w:val="18"/>
          <w:rtl/>
          <w:lang w:bidi="ar-EG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2C31A3">
        <w:rPr>
          <w:rFonts w:cs="AL-Mateen" w:hint="eastAsia"/>
          <w:b/>
          <w:bCs/>
          <w:sz w:val="18"/>
          <w:szCs w:val="18"/>
          <w:rtl/>
        </w:rPr>
        <w:t>تشبيهه</w:t>
      </w:r>
      <w:r w:rsidRPr="002C31A3">
        <w:rPr>
          <w:rFonts w:cs="AL-Mateen"/>
          <w:b/>
          <w:bCs/>
          <w:sz w:val="18"/>
          <w:szCs w:val="18"/>
          <w:rtl/>
        </w:rPr>
        <w:t xml:space="preserve"> </w:t>
      </w:r>
      <w:r w:rsidRPr="002C31A3">
        <w:rPr>
          <w:rFonts w:cs="AL-Mateen" w:hint="eastAsia"/>
          <w:b/>
          <w:bCs/>
          <w:sz w:val="18"/>
          <w:szCs w:val="18"/>
          <w:rtl/>
        </w:rPr>
        <w:t>واستعارته</w:t>
      </w:r>
    </w:p>
    <w:p w:rsidR="002C31A3" w:rsidRPr="002C31A3" w:rsidRDefault="002C31A3" w:rsidP="002C31A3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التشبيه</w:t>
      </w:r>
      <w:r w:rsidRPr="002C31A3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البلاغة</w:t>
      </w:r>
      <w:r w:rsidRPr="002C31A3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كلام</w:t>
      </w:r>
    </w:p>
    <w:p w:rsidR="002C31A3" w:rsidRPr="002C31A3" w:rsidRDefault="002C31A3" w:rsidP="002C31A3">
      <w:pPr>
        <w:pStyle w:val="ListParagraph"/>
        <w:numPr>
          <w:ilvl w:val="0"/>
          <w:numId w:val="3"/>
        </w:numPr>
        <w:spacing w:before="60"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2C31A3" w:rsidRPr="002C31A3" w:rsidRDefault="002C31A3" w:rsidP="002C31A3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2C31A3">
        <w:rPr>
          <w:rFonts w:cs="AL-Mateen" w:hint="eastAsia"/>
          <w:b/>
          <w:bCs/>
          <w:sz w:val="18"/>
          <w:szCs w:val="18"/>
          <w:rtl/>
        </w:rPr>
        <w:t>تشبيهه</w:t>
      </w:r>
      <w:r w:rsidRPr="002C31A3">
        <w:rPr>
          <w:rFonts w:cs="AL-Mateen"/>
          <w:b/>
          <w:bCs/>
          <w:sz w:val="18"/>
          <w:szCs w:val="18"/>
          <w:rtl/>
        </w:rPr>
        <w:t xml:space="preserve"> </w:t>
      </w:r>
      <w:r w:rsidRPr="002C31A3">
        <w:rPr>
          <w:rFonts w:cs="AL-Mateen" w:hint="eastAsia"/>
          <w:b/>
          <w:bCs/>
          <w:sz w:val="18"/>
          <w:szCs w:val="18"/>
          <w:rtl/>
        </w:rPr>
        <w:t>واستعارته</w:t>
      </w:r>
    </w:p>
    <w:p w:rsidR="002C31A3" w:rsidRPr="002C31A3" w:rsidRDefault="002C31A3" w:rsidP="002C31A3">
      <w:pPr>
        <w:pStyle w:val="ListParagraph"/>
        <w:numPr>
          <w:ilvl w:val="0"/>
          <w:numId w:val="2"/>
        </w:numPr>
        <w:spacing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2C31A3" w:rsidRDefault="002C31A3" w:rsidP="002C31A3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التشبيه:</w:t>
      </w:r>
    </w:p>
    <w:p w:rsidR="002C31A3" w:rsidRPr="002C31A3" w:rsidRDefault="002C31A3" w:rsidP="002C31A3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التشبيه: نوع من أشرف أنواع البلاغة وأعلاها.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المبرّد في (الكامل): "لو قال قائل: هو أكثر كلام العرب، لم يبعد".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أفرد تشبيهات القرآن بالتصنيف: أبو القاسم بن البندار البغدادي، في كتاب سماه: (الجمان).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وعرّفه جماعة بأنه: الدلالة على مشاركة أمر لأمر في معنى. وقيل غير ذلك...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وأدواته: حروف، وأسماء، وأفعال.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فالحروف: "الكاف"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و"كأنّ" نحو: {ﮠ ﮡ ﮢ} [الصافات: 65].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والأسماء: "مثل"، و"شبه"، ونحوهما مما يُشتق من المماثلة والمشابهة.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ينقسم التشبيه إلى أقسام باعتبارات عدّة، منها: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1.  باعتبار طرفيْه: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ينقسم إلى أربعة أقسام: لأنهما إمّا حسّيّان أو عقليّان، أو المشبَّه به حسّي والمشبّه عقلي، أو عكسه.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مثال الأول: {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ﯬ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ﯭ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ﯮ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ﯯ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ﯰ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ﯱ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442"/>
          <w:b/>
          <w:bCs/>
          <w:sz w:val="18"/>
          <w:szCs w:val="18"/>
          <w:rtl/>
        </w:rPr>
        <w:t>ﯲ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[يس:39]. </w:t>
      </w:r>
    </w:p>
    <w:p w:rsidR="002C31A3" w:rsidRPr="002C31A3" w:rsidRDefault="002C31A3" w:rsidP="002C31A3">
      <w:pPr>
        <w:spacing w:before="100" w:beforeAutospacing="1" w:after="120" w:line="240" w:lineRule="auto"/>
        <w:jc w:val="lowKashida"/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ومثال الثاني: {ﮗ ﮘ ﮙ ﮚ ﮛ ﮜ ﮝ ﮞ ﮟ ﮠ ﮡ} [البقرة: 74].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كذا مثّل به في (البرهان)، وكأنّه ظن أنّ التشبيه واقع في القسوة، وهو غير ظاهر؛ بل هو واقع بين القلوب والحجارة، فهو من الأول.</w:t>
      </w:r>
    </w:p>
    <w:p w:rsidR="002C31A3" w:rsidRPr="002C31A3" w:rsidRDefault="002C31A3" w:rsidP="002C31A3">
      <w:pPr>
        <w:spacing w:before="100" w:beforeAutospacing="1"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ومثال الثالث: {ﯤ ﯥ ﯦ ﯧ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ﯨ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ﯩ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ﯪ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ﯫ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ﯬ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2C31A3">
        <w:rPr>
          <w:rFonts w:asciiTheme="majorBidi" w:hAnsiTheme="majorBidi" w:cs="QCF_P257"/>
          <w:b/>
          <w:bCs/>
          <w:sz w:val="18"/>
          <w:szCs w:val="18"/>
          <w:rtl/>
        </w:rPr>
        <w:t>ﯭ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} [إبراهيم: 18].</w:t>
      </w:r>
    </w:p>
    <w:p w:rsidR="002C31A3" w:rsidRPr="002C31A3" w:rsidRDefault="002C31A3" w:rsidP="002C31A3">
      <w:pPr>
        <w:spacing w:before="100" w:beforeAutospacing="1"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ومثال الرابع: لم يقع في القرآن، بل منع أصلًا، لأن العقل مستفاد من الحس؛ فالمحسوس أصل للمعقول، وتشبيهه به يستلزم جعل الأصل فرعًا والفرع أصلًا، وهو غير جائز. </w:t>
      </w:r>
    </w:p>
    <w:p w:rsidR="002C31A3" w:rsidRPr="002C31A3" w:rsidRDefault="002C31A3" w:rsidP="002C31A3">
      <w:pPr>
        <w:spacing w:before="100" w:beforeAutospacing="1" w:after="24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2. ينقسم باعتبار وجهه إلى: مفرد ومركّب.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والمركّب أن ينتزع وجه الشبه من أمور مجموع بعضها إلى بعض، كقوله: {ﮑ ﮒ ﮓ ﮔ} [الجمعة: 5].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فالتشبيه مركّب من أحوال الحمار، وهو: حرمان الانتفاع بأبلغ نافع، مع تحمّل التعب في استصحابه.</w:t>
      </w:r>
    </w:p>
    <w:p w:rsidR="002C31A3" w:rsidRPr="002C31A3" w:rsidRDefault="002C31A3" w:rsidP="002C31A3">
      <w:pPr>
        <w:spacing w:before="100" w:beforeAutospacing="1"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وينقسم باعتبارات أخرى إلى أقسام لا نطيل بذكرها هنا. </w:t>
      </w:r>
    </w:p>
    <w:p w:rsidR="002C31A3" w:rsidRPr="002C31A3" w:rsidRDefault="002C31A3" w:rsidP="002C31A3">
      <w:pPr>
        <w:spacing w:before="100" w:beforeAutospacing="1" w:after="24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الاستعارة:</w:t>
      </w:r>
    </w:p>
    <w:p w:rsidR="002C31A3" w:rsidRPr="002C31A3" w:rsidRDefault="002C31A3" w:rsidP="002C31A3">
      <w:pPr>
        <w:spacing w:after="24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الاستعارة فهي: تزاوج بين المجاز والتشبيه، نتجت عنه.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بعضهم: حقيقة الاستعارة: أن تُستعار الكلمة من شيء معروف بها، إلى شيء لم يُعرف بها. وحكمة ذلك: 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إظهار الخفيّ، وإيضاح الظاهر الذي ليس بجليّ، أو حصول المبالغة أو المجموع.</w:t>
      </w:r>
    </w:p>
    <w:p w:rsidR="002C31A3" w:rsidRPr="002C31A3" w:rsidRDefault="002C31A3" w:rsidP="002C31A3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مثال إظهار الخفيّ: {ﮌ ﮍ ﮎ ﮏ} [الزُّخرُف: 4]، فإن حقيقته: "وإنه في أصل الكتاب"، فاستعير لفظ "الأم" للأصل، لأن الأولاد تنشأ من الأم كما تنشأ الفروع من الأصول. وحكمة ذلك: تمثيل ما ليس بمرئي حتى يصير مرئيًّا، فينتقل السامع من حد السماع إلى حد العيان؛ وذلك أبلغ في البيان.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ومثال إيضاح ما ليس بجليٍّ ليصير جليًّا: {ﯓ ﯔ ﯕ ﯖ} [الإسراء: 24]. فإن المراد: أمر الولد بالذل لوالديه رحمة، فاستعير للذل أولًا جانب، ثم للجانب جناح. وتقدير الاستعارة القريبة: "واخفض لهما جانب الذل"، أي: اخفض جانبك ذلًا. وحكمة الاستعارة في هذا: جعل ما ليس بمرئيّ مرئيًّا، لأجل حسن البيان.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ومثال المبالغة: 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{ﭻ ﭼ ﭽ} [القمر: 12]، </w:t>
      </w:r>
      <w:r w:rsidRPr="002C31A3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وحقيقته: "وفجّرنا عيون الأرض"، ولو عبر بذلك لم يكن فيه من المبالغة ما في الأول المشعر بأن الأرض كلها صارت عيونًا. </w:t>
      </w:r>
    </w:p>
    <w:p w:rsidR="002C31A3" w:rsidRPr="002C31A3" w:rsidRDefault="002C31A3" w:rsidP="002C31A3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وأركان الاستعارة ثلاثة: مستعار وهو: لفظ المشبَّه به، ومستعار منه وهو: معنى اللفظ المشبّه، ومستعار له وهو: المعنى الجامع. </w:t>
      </w:r>
    </w:p>
    <w:p w:rsidR="002C31A3" w:rsidRPr="002C31A3" w:rsidRDefault="002C31A3" w:rsidP="002C31A3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وأقسامها كثيرة باعتبارات عدّة.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lastRenderedPageBreak/>
        <w:t>محمد بن بهادر بن عبد الله</w:t>
      </w: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(سنن القرّاء ومناهج المجوّدين)</w:t>
      </w:r>
    </w:p>
    <w:p w:rsidR="002C31A3" w:rsidRPr="002C31A3" w:rsidRDefault="002C31A3" w:rsidP="002C31A3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2C31A3" w:rsidRPr="002C31A3" w:rsidRDefault="002C31A3" w:rsidP="002C31A3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2C31A3" w:rsidRPr="002C31A3" w:rsidRDefault="002C31A3" w:rsidP="002C31A3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2C31A3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sectPr w:rsidR="002C31A3" w:rsidRPr="002C31A3" w:rsidSect="002C31A3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_P44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5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0A1"/>
    <w:multiLevelType w:val="hybridMultilevel"/>
    <w:tmpl w:val="E88E13FC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7CA632D6"/>
    <w:multiLevelType w:val="hybridMultilevel"/>
    <w:tmpl w:val="DEC84DCC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C31A3"/>
    <w:rsid w:val="002C31A3"/>
    <w:rsid w:val="002D2D00"/>
    <w:rsid w:val="00541D04"/>
    <w:rsid w:val="005C15CC"/>
    <w:rsid w:val="00A0034C"/>
    <w:rsid w:val="00C9441C"/>
    <w:rsid w:val="00E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2C31A3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2C31A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2C3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2013-06-05T18:45:00Z</dcterms:created>
  <dcterms:modified xsi:type="dcterms:W3CDTF">2013-06-24T11:02:00Z</dcterms:modified>
</cp:coreProperties>
</file>