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E43" w:rsidRDefault="000B4FA9" w:rsidP="000B4FA9">
      <w:pPr>
        <w:jc w:val="center"/>
        <w:rPr>
          <w:rFonts w:asciiTheme="majorBidi" w:hAnsiTheme="majorBidi" w:cstheme="majorBidi"/>
          <w:sz w:val="48"/>
          <w:szCs w:val="48"/>
          <w:rtl/>
        </w:rPr>
      </w:pPr>
      <w:r w:rsidRPr="000B4FA9">
        <w:rPr>
          <w:rFonts w:asciiTheme="majorBidi" w:eastAsia="Calibri" w:hAnsiTheme="majorBidi" w:cstheme="majorBidi"/>
          <w:sz w:val="48"/>
          <w:szCs w:val="48"/>
          <w:rtl/>
        </w:rPr>
        <w:t>أبواب علوم القرآن عند "السيوطي"</w:t>
      </w:r>
    </w:p>
    <w:p w:rsidR="000B4FA9" w:rsidRPr="007E1CFD" w:rsidRDefault="000B4FA9" w:rsidP="000B4FA9">
      <w:pPr>
        <w:spacing w:line="500" w:lineRule="exact"/>
        <w:jc w:val="center"/>
        <w:rPr>
          <w:rFonts w:ascii="Calibri" w:eastAsia="Calibri" w:hAnsi="Calibri" w:cs="AGA Rasheeq Bold"/>
          <w:color w:val="4F81BD"/>
          <w:sz w:val="40"/>
          <w:szCs w:val="40"/>
          <w:rtl/>
        </w:rPr>
      </w:pPr>
      <w:r>
        <w:rPr>
          <w:rFonts w:hint="cs"/>
          <w:i/>
          <w:iCs/>
          <w:rtl/>
        </w:rPr>
        <w:t>مبحث فى</w:t>
      </w:r>
      <w:r w:rsidRPr="007E1CFD">
        <w:rPr>
          <w:rFonts w:hint="cs"/>
          <w:i/>
          <w:iCs/>
          <w:sz w:val="18"/>
          <w:szCs w:val="18"/>
          <w:rtl/>
        </w:rPr>
        <w:t xml:space="preserve"> </w:t>
      </w:r>
      <w:r w:rsidRPr="007E1CFD">
        <w:rPr>
          <w:rFonts w:ascii="Calibri" w:eastAsia="Calibri" w:hAnsi="Calibri" w:cs="AGA Rasheeq Bold" w:hint="cs"/>
          <w:sz w:val="18"/>
          <w:szCs w:val="18"/>
          <w:rtl/>
        </w:rPr>
        <w:t>مدخل إلى علوم القرآن</w:t>
      </w:r>
    </w:p>
    <w:p w:rsidR="000B4FA9" w:rsidRPr="00F253C8" w:rsidRDefault="000B4FA9" w:rsidP="00F253C8">
      <w:pPr>
        <w:pStyle w:val="Author"/>
        <w:bidi/>
        <w:rPr>
          <w:i/>
          <w:iCs/>
          <w:sz w:val="20"/>
          <w:szCs w:val="20"/>
          <w:lang w:eastAsia="zh-CN"/>
        </w:rPr>
      </w:pPr>
      <w:r w:rsidRPr="00F253C8">
        <w:rPr>
          <w:rFonts w:hint="cs"/>
          <w:i/>
          <w:iCs/>
          <w:sz w:val="20"/>
          <w:szCs w:val="20"/>
          <w:rtl/>
          <w:lang w:eastAsia="zh-CN"/>
        </w:rPr>
        <w:t xml:space="preserve">إعداد / </w:t>
      </w:r>
      <w:r w:rsidR="00F253C8" w:rsidRPr="00F253C8">
        <w:rPr>
          <w:i/>
          <w:iCs/>
          <w:sz w:val="20"/>
          <w:szCs w:val="20"/>
          <w:rtl/>
          <w:lang w:eastAsia="zh-CN"/>
        </w:rPr>
        <w:t>عادل محمد فتحي</w:t>
      </w:r>
      <w:r w:rsidR="00F253C8" w:rsidRPr="00F253C8">
        <w:rPr>
          <w:rFonts w:hint="cs"/>
          <w:i/>
          <w:iCs/>
          <w:sz w:val="20"/>
          <w:szCs w:val="20"/>
          <w:rtl/>
          <w:lang w:eastAsia="zh-CN"/>
        </w:rPr>
        <w:t xml:space="preserve">  </w:t>
      </w:r>
    </w:p>
    <w:p w:rsidR="000B4FA9" w:rsidRPr="00F253C8" w:rsidRDefault="000B4FA9" w:rsidP="000B4FA9">
      <w:pPr>
        <w:pStyle w:val="Affiliation"/>
        <w:bidi/>
        <w:rPr>
          <w:i/>
          <w:iCs/>
        </w:rPr>
      </w:pPr>
      <w:r>
        <w:rPr>
          <w:rFonts w:hint="cs"/>
          <w:i/>
          <w:iCs/>
          <w:rtl/>
        </w:rPr>
        <w:t>قسم الدعوة وأصول الدين</w:t>
      </w:r>
    </w:p>
    <w:p w:rsidR="000B4FA9" w:rsidRPr="00F253C8" w:rsidRDefault="000B4FA9" w:rsidP="000B4FA9">
      <w:pPr>
        <w:pStyle w:val="Affiliation"/>
        <w:bidi/>
        <w:rPr>
          <w:i/>
          <w:iCs/>
        </w:rPr>
      </w:pPr>
      <w:r>
        <w:rPr>
          <w:rFonts w:hint="cs"/>
          <w:i/>
          <w:iCs/>
          <w:rtl/>
        </w:rPr>
        <w:t xml:space="preserve">كلية العلوم الإسلامية </w:t>
      </w:r>
      <w:r>
        <w:rPr>
          <w:i/>
          <w:iCs/>
          <w:rtl/>
        </w:rPr>
        <w:t>–</w:t>
      </w:r>
      <w:r>
        <w:rPr>
          <w:rFonts w:hint="cs"/>
          <w:i/>
          <w:iCs/>
          <w:rtl/>
        </w:rPr>
        <w:t xml:space="preserve"> جامعة المدينة العالمية</w:t>
      </w:r>
      <w:r w:rsidRPr="00F253C8">
        <w:rPr>
          <w:i/>
          <w:iCs/>
        </w:rPr>
        <w:t xml:space="preserve"> </w:t>
      </w:r>
    </w:p>
    <w:p w:rsidR="000B4FA9" w:rsidRPr="00F253C8" w:rsidRDefault="000B4FA9" w:rsidP="000B4FA9">
      <w:pPr>
        <w:pStyle w:val="Affiliation"/>
        <w:bidi/>
        <w:rPr>
          <w:i/>
          <w:iCs/>
          <w:rtl/>
        </w:rPr>
      </w:pPr>
      <w:r w:rsidRPr="00F253C8">
        <w:rPr>
          <w:rFonts w:hint="cs"/>
          <w:i/>
          <w:iCs/>
          <w:rtl/>
        </w:rPr>
        <w:t>شاه علم - ماليزيا</w:t>
      </w:r>
    </w:p>
    <w:p w:rsidR="000B4FA9" w:rsidRPr="00F253C8" w:rsidRDefault="00F253C8" w:rsidP="00F253C8">
      <w:pPr>
        <w:spacing w:line="240" w:lineRule="auto"/>
        <w:jc w:val="center"/>
        <w:rPr>
          <w:rFonts w:ascii="Times New Roman" w:eastAsia="SimSun" w:hAnsi="Times New Roman" w:cs="Times New Roman"/>
          <w:i/>
          <w:iCs/>
          <w:sz w:val="20"/>
          <w:szCs w:val="20"/>
          <w:rtl/>
          <w:lang w:eastAsia="zh-CN"/>
        </w:rPr>
        <w:sectPr w:rsidR="000B4FA9" w:rsidRPr="00F253C8" w:rsidSect="005C15CC">
          <w:pgSz w:w="11906" w:h="16838"/>
          <w:pgMar w:top="1440" w:right="1440" w:bottom="1440" w:left="1440" w:header="720" w:footer="720" w:gutter="0"/>
          <w:cols w:space="720"/>
          <w:bidi/>
          <w:rtlGutter/>
          <w:docGrid w:linePitch="360"/>
        </w:sectPr>
      </w:pPr>
      <w:hyperlink r:id="rId5" w:history="1">
        <w:r w:rsidRPr="00F253C8">
          <w:rPr>
            <w:rFonts w:ascii="Times New Roman" w:eastAsia="SimSun" w:hAnsi="Times New Roman" w:cs="Times New Roman"/>
            <w:i/>
            <w:iCs/>
            <w:sz w:val="20"/>
            <w:szCs w:val="20"/>
            <w:lang w:eastAsia="zh-CN"/>
          </w:rPr>
          <w:t>adel.mater@mediu.ws</w:t>
        </w:r>
      </w:hyperlink>
    </w:p>
    <w:p w:rsidR="000B4FA9" w:rsidRPr="000B4FA9" w:rsidRDefault="000B4FA9" w:rsidP="000B4FA9">
      <w:pPr>
        <w:spacing w:line="240" w:lineRule="auto"/>
        <w:rPr>
          <w:rFonts w:asciiTheme="majorBidi" w:hAnsiTheme="majorBidi" w:cstheme="majorBidi"/>
          <w:b/>
          <w:bCs/>
          <w:sz w:val="18"/>
          <w:szCs w:val="18"/>
          <w:rtl/>
          <w:lang w:bidi="ar-EG"/>
        </w:rPr>
      </w:pPr>
      <w:r w:rsidRPr="000B4FA9">
        <w:rPr>
          <w:rFonts w:asciiTheme="majorBidi" w:hAnsiTheme="majorBidi" w:cstheme="majorBidi"/>
          <w:b/>
          <w:bCs/>
          <w:sz w:val="18"/>
          <w:szCs w:val="18"/>
          <w:rtl/>
        </w:rPr>
        <w:lastRenderedPageBreak/>
        <w:t xml:space="preserve">الخلاصة – هذا البحث يبحث فى </w:t>
      </w:r>
      <w:r>
        <w:rPr>
          <w:rFonts w:asciiTheme="majorBidi" w:eastAsia="Calibri" w:hAnsiTheme="majorBidi" w:cstheme="majorBidi" w:hint="cs"/>
          <w:b/>
          <w:bCs/>
          <w:sz w:val="18"/>
          <w:szCs w:val="18"/>
          <w:rtl/>
        </w:rPr>
        <w:t>أبواب علوم الفرآن عند "السيوطى"</w:t>
      </w:r>
    </w:p>
    <w:p w:rsidR="000B4FA9" w:rsidRPr="000B4FA9" w:rsidRDefault="000B4FA9" w:rsidP="000B4FA9">
      <w:pPr>
        <w:spacing w:before="60" w:line="240" w:lineRule="auto"/>
        <w:rPr>
          <w:rFonts w:asciiTheme="majorBidi" w:eastAsia="Calibri" w:hAnsiTheme="majorBidi" w:cstheme="majorBidi"/>
          <w:b/>
          <w:bCs/>
          <w:sz w:val="18"/>
          <w:szCs w:val="18"/>
          <w:rtl/>
        </w:rPr>
      </w:pPr>
      <w:r w:rsidRPr="000B4FA9">
        <w:rPr>
          <w:rFonts w:asciiTheme="majorBidi" w:eastAsia="Calibri" w:hAnsiTheme="majorBidi" w:cstheme="majorBidi"/>
          <w:b/>
          <w:bCs/>
          <w:sz w:val="18"/>
          <w:szCs w:val="18"/>
          <w:rtl/>
        </w:rPr>
        <w:t>الكلمات المفتاحية – ا</w:t>
      </w:r>
      <w:r>
        <w:rPr>
          <w:rFonts w:asciiTheme="majorBidi" w:eastAsia="Calibri" w:hAnsiTheme="majorBidi" w:cstheme="majorBidi" w:hint="cs"/>
          <w:b/>
          <w:bCs/>
          <w:sz w:val="18"/>
          <w:szCs w:val="18"/>
          <w:rtl/>
        </w:rPr>
        <w:t>لمكى، النهارى</w:t>
      </w:r>
      <w:r w:rsidRPr="000B4FA9">
        <w:rPr>
          <w:rFonts w:asciiTheme="majorBidi" w:eastAsia="Calibri" w:hAnsiTheme="majorBidi" w:cstheme="majorBidi"/>
          <w:b/>
          <w:bCs/>
          <w:sz w:val="18"/>
          <w:szCs w:val="18"/>
          <w:rtl/>
        </w:rPr>
        <w:t>، ا</w:t>
      </w:r>
      <w:r>
        <w:rPr>
          <w:rFonts w:asciiTheme="majorBidi" w:eastAsia="Calibri" w:hAnsiTheme="majorBidi" w:cstheme="majorBidi" w:hint="cs"/>
          <w:b/>
          <w:bCs/>
          <w:sz w:val="18"/>
          <w:szCs w:val="18"/>
          <w:rtl/>
        </w:rPr>
        <w:t>الصيفى</w:t>
      </w:r>
      <w:r w:rsidRPr="000B4FA9">
        <w:rPr>
          <w:rFonts w:asciiTheme="majorBidi" w:eastAsia="Calibri" w:hAnsiTheme="majorBidi" w:cstheme="majorBidi"/>
          <w:b/>
          <w:bCs/>
          <w:sz w:val="18"/>
          <w:szCs w:val="18"/>
          <w:rtl/>
        </w:rPr>
        <w:t xml:space="preserve">، </w:t>
      </w:r>
      <w:r>
        <w:rPr>
          <w:rFonts w:asciiTheme="majorBidi" w:eastAsia="Calibri" w:hAnsiTheme="majorBidi" w:cstheme="majorBidi" w:hint="cs"/>
          <w:b/>
          <w:bCs/>
          <w:sz w:val="18"/>
          <w:szCs w:val="18"/>
          <w:rtl/>
        </w:rPr>
        <w:t>الفراشى</w:t>
      </w:r>
    </w:p>
    <w:p w:rsidR="000B4FA9" w:rsidRPr="000B4FA9" w:rsidRDefault="000B4FA9" w:rsidP="000B4FA9">
      <w:pPr>
        <w:pStyle w:val="ListParagraph"/>
        <w:numPr>
          <w:ilvl w:val="0"/>
          <w:numId w:val="2"/>
        </w:numPr>
        <w:spacing w:before="60" w:line="240" w:lineRule="auto"/>
        <w:ind w:left="103" w:hanging="90"/>
        <w:jc w:val="center"/>
        <w:rPr>
          <w:rFonts w:asciiTheme="majorBidi" w:hAnsiTheme="majorBidi" w:cstheme="majorBidi"/>
          <w:b/>
          <w:bCs/>
          <w:sz w:val="18"/>
          <w:szCs w:val="18"/>
          <w:rtl/>
        </w:rPr>
      </w:pPr>
      <w:r>
        <w:rPr>
          <w:rFonts w:asciiTheme="majorBidi" w:hAnsiTheme="majorBidi" w:cstheme="majorBidi" w:hint="cs"/>
          <w:b/>
          <w:bCs/>
          <w:sz w:val="18"/>
          <w:szCs w:val="18"/>
          <w:rtl/>
        </w:rPr>
        <w:t>.</w:t>
      </w:r>
      <w:r w:rsidRPr="000B4FA9">
        <w:rPr>
          <w:rFonts w:asciiTheme="majorBidi" w:hAnsiTheme="majorBidi" w:cstheme="majorBidi"/>
          <w:b/>
          <w:bCs/>
          <w:sz w:val="18"/>
          <w:szCs w:val="18"/>
          <w:rtl/>
        </w:rPr>
        <w:t>المقدمة</w:t>
      </w:r>
    </w:p>
    <w:p w:rsidR="000B4FA9" w:rsidRPr="000B4FA9" w:rsidRDefault="000B4FA9" w:rsidP="000B4FA9">
      <w:pPr>
        <w:spacing w:before="60" w:line="240" w:lineRule="auto"/>
        <w:rPr>
          <w:rtl/>
        </w:rPr>
      </w:pPr>
      <w:r w:rsidRPr="000B4FA9">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Pr>
          <w:rFonts w:asciiTheme="majorBidi" w:eastAsia="Calibri" w:hAnsiTheme="majorBidi" w:cstheme="majorBidi" w:hint="cs"/>
          <w:b/>
          <w:bCs/>
          <w:sz w:val="18"/>
          <w:szCs w:val="18"/>
          <w:rtl/>
        </w:rPr>
        <w:t>أبواب علوم الفرآن عند "السيوطى"</w:t>
      </w:r>
    </w:p>
    <w:p w:rsidR="000B4FA9" w:rsidRPr="000B4FA9" w:rsidRDefault="000B4FA9" w:rsidP="000B4FA9">
      <w:pPr>
        <w:pStyle w:val="ListParagraph"/>
        <w:numPr>
          <w:ilvl w:val="0"/>
          <w:numId w:val="3"/>
        </w:numPr>
        <w:spacing w:line="240" w:lineRule="auto"/>
        <w:ind w:left="283" w:hanging="90"/>
        <w:jc w:val="center"/>
        <w:rPr>
          <w:rFonts w:asciiTheme="majorBidi" w:hAnsiTheme="majorBidi" w:cstheme="majorBidi"/>
          <w:b/>
          <w:bCs/>
          <w:sz w:val="18"/>
          <w:szCs w:val="18"/>
          <w:rtl/>
        </w:rPr>
      </w:pPr>
      <w:r>
        <w:rPr>
          <w:rFonts w:asciiTheme="majorBidi" w:hAnsiTheme="majorBidi" w:cstheme="majorBidi" w:hint="cs"/>
          <w:b/>
          <w:bCs/>
          <w:sz w:val="18"/>
          <w:szCs w:val="18"/>
          <w:rtl/>
        </w:rPr>
        <w:t>.</w:t>
      </w:r>
      <w:r w:rsidRPr="000B4FA9">
        <w:rPr>
          <w:rFonts w:asciiTheme="majorBidi" w:hAnsiTheme="majorBidi" w:cstheme="majorBidi"/>
          <w:b/>
          <w:bCs/>
          <w:sz w:val="18"/>
          <w:szCs w:val="18"/>
          <w:rtl/>
        </w:rPr>
        <w:t>عنوان المقال</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وهذا سرد لأبواب علوم القرآن التي توصّل إليها السيوطي </w:t>
      </w:r>
      <w:r w:rsidRPr="000B4FA9">
        <w:rPr>
          <w:rFonts w:asciiTheme="majorBidi" w:hAnsiTheme="majorBidi" w:cstheme="majorBidi"/>
          <w:b/>
          <w:bCs/>
          <w:sz w:val="18"/>
          <w:szCs w:val="18"/>
          <w:rtl/>
          <w:lang w:bidi="ar-EG"/>
        </w:rPr>
        <w:t>-رحمه الله-</w:t>
      </w:r>
      <w:r w:rsidRPr="000B4FA9">
        <w:rPr>
          <w:rFonts w:asciiTheme="majorBidi" w:hAnsiTheme="majorBidi" w:cstheme="majorBidi"/>
          <w:b/>
          <w:bCs/>
          <w:sz w:val="18"/>
          <w:szCs w:val="18"/>
          <w:rtl/>
        </w:rPr>
        <w:t xml:space="preserve"> وبحثها في كتابه العظيم، نتبعها-إن شاء الله- بمزيد توضيح للمراد منها، حسب تقسيمات البلقيني الجامعة، والقسم الذي أضفناه إليها:</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الأول: معرفة المكي والمدني.</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الثاني: معرفة الحضري والسفري.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الثالث: النهاري والليلي.</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الرابع: الصيفي والشتائي.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الخامس: الفراشي والنومي.</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السادس: الأرضي والسمائي.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السابع: أوّل ما نزل.</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الثامن: آخِر ما نزل.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التاسع: أسباب النزول.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العاشر: ما نزل على لسان بعض الصحابة.</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الحادي عشر: ما تكرّر نزوله.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الثاني عشر: ما تأخّر حُكمه عن نزوله، وما تأخّر نزوله عن حُكمه.</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الثالث عشر: معرفة ما نزل مفرّقًا وما نزل جمعًا.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الرابع عشر: ما نزل مشيّعًا وما نزل مفردًا. </w:t>
      </w:r>
    </w:p>
    <w:p w:rsidR="000B4FA9" w:rsidRPr="000B4FA9" w:rsidRDefault="000B4FA9" w:rsidP="000B4FA9">
      <w:pPr>
        <w:widowControl w:val="0"/>
        <w:spacing w:after="120" w:line="240" w:lineRule="auto"/>
        <w:jc w:val="lowKashida"/>
        <w:rPr>
          <w:rFonts w:asciiTheme="majorBidi" w:hAnsiTheme="majorBidi" w:cstheme="majorBidi"/>
          <w:b/>
          <w:bCs/>
          <w:sz w:val="18"/>
          <w:szCs w:val="18"/>
          <w:rtl/>
          <w:lang w:bidi="ar-EG"/>
        </w:rPr>
      </w:pPr>
      <w:r w:rsidRPr="000B4FA9">
        <w:rPr>
          <w:rFonts w:asciiTheme="majorBidi" w:hAnsiTheme="majorBidi" w:cstheme="majorBidi"/>
          <w:b/>
          <w:bCs/>
          <w:sz w:val="18"/>
          <w:szCs w:val="18"/>
          <w:rtl/>
        </w:rPr>
        <w:t xml:space="preserve">الخامس عشر: ما أنزل منه على بعض الأنبياء، وما لم ينزل منه على أحد قبل النبي </w:t>
      </w:r>
      <w:r w:rsidRPr="000B4FA9">
        <w:rPr>
          <w:rFonts w:asciiTheme="majorBidi" w:hAnsiTheme="majorBidi" w:cstheme="majorBidi"/>
          <w:b/>
          <w:bCs/>
          <w:position w:val="-4"/>
          <w:sz w:val="18"/>
          <w:szCs w:val="18"/>
        </w:rPr>
        <w:sym w:font="AGA Arabesque" w:char="F065"/>
      </w:r>
      <w:r w:rsidRPr="000B4FA9">
        <w:rPr>
          <w:rFonts w:asciiTheme="majorBidi" w:hAnsiTheme="majorBidi" w:cstheme="majorBidi"/>
          <w:b/>
          <w:bCs/>
          <w:sz w:val="18"/>
          <w:szCs w:val="18"/>
          <w:rtl/>
        </w:rPr>
        <w:t>.</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السادس عشر: كيفية إنزاله.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السابع عشر: معرفة أسمائه وأسماء سوَره.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الثامن عشر: جمعه وترتيبه.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التاسع عشر: عدد سوَره وآياته وكلماته وحروفه.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العشرون: حفّاظه ورواته.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الحادي والعشرون: العالي والنازل.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الثاني والعشرون: معرفة المتواتر.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الثالث والعشرون: المشهور.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lastRenderedPageBreak/>
        <w:t xml:space="preserve">الرابع والعشرون: الآحاد.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الخامس والعشرون: الشاذ.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السادس والعشرون: الموضوع.</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السابع والعشرون: المدرَج.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الثامن والعشرون: معرفة الوقف والابتداء.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التاسع والعشرون: بيان الموصول لفظًا، المفصول معنىً.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الثلاثون: الإمالة والفتح وما بينهما.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الحادي والثلاثون: الإدغام، والإظهار، والإخفاء، والإقلاب.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الثاني والثلاثون: المد والقصر.</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الثالث والثلاثون: تخفيف الهمزة.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الرابع والثلاثون: كيفية تحمّله.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الخامس والثلاثون: آداب تلاوته.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السادس والثلاثون: معرفة غريبه.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السابع والثلاثون: فيما وقع فيه بغير لغة الحجاز.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الثامن والثلاثون: فيما وقع فيه بغير لغة العرب.</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التاسع والثلاثون: معرفة الوجوه والنظائر.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الأربعون: معرفة معاني الأدوات التي يحتاج إليها المفسِّر.</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الحادي والأربعون: معرفة إعرابه.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الثاني والأربعون: قواعد مهمّة يحتاج المفسِّر إلى معرفتها.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الثالث والأربعون: المحكَم والمتشابِه.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الرابع والأربعون: مقدّمه ومؤخّره.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الخامس والأربعون: خاصِّه وعامّه.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السادس والأربعون: مجمله ومبيّنه.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السابع والأربعون: ناسخه ومنسوخه.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الثامن والأربعون: مُشكله، وموهم الاختلاف والتناقض.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التاسع والأربعون: مطلَقه ومقيّده.</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الخمسون: في منطوقه ومفهومه.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الحادي والخمسون: وجوه مخاطباته.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الثاني والخمسون: حقيقته ومجازه.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الثالث والخمسون: تشبيهه واستعارته.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الرابع والخمسون: كناياته وتعريضه.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الخامس والخمسون: الحصر والاختصاص.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السادس والخمسون: الإيجاز والإطناب.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lastRenderedPageBreak/>
        <w:t xml:space="preserve">السابع والخمسون: الخبر والإنشاء.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الثامن والخمسون: بدائع القرآن.</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التاسع والخمسون: فواصل الآي.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الستون: فواتح السوّر.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الحادي والستون: خواتم السوَر.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الثاني والستون: مناسبة الآيات والسوَر.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الثالث والستون: الآيات المشتبهات.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الرابع والستون: إعجاز القرآن.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الخامس والستون: العلوم المستنبَطة من القرآن.</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السادس والستون: أمثاله.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السابع والستون: أقسامه.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الثامن والستون: في جدَله.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التاسع والستون: الأسماء والكنى والألقاب.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السبعون: مبهماته.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الحادي والسبعون: أسماء مَن نزل فيهم القرآن.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الثاني والسبعون: فضائل القرآن.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الثالث والسبعون: أفضل القرآن وفاضله.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الرابع والسبعون: مفردات القرآن.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الخامس والسبعون: خواصّه.</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السادس والسبعون: رسوم الخط، وآداب كتابته.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السابع والسبعون: معرفة تأويله وتفسيره، وبيان شرفه والحاجة إليه.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الثامن والسبعون: شروط المفسِّر وآدابه.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التاسع والسبعون:غرائب التفسير. </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الثمانون: طبقات المفسِّرين. </w:t>
      </w:r>
    </w:p>
    <w:p w:rsidR="000B4FA9" w:rsidRPr="000B4FA9" w:rsidRDefault="000B4FA9" w:rsidP="000B4FA9">
      <w:pPr>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 xml:space="preserve">قال السيوطي: "فهذه ثمانون نوعًا على سبيل الإدماج، ولو نوّعت باعتبار ما أدمجته في ضمنها لزادت على الثلاثمائة؛ وغالب هذه الأنواع فيها تصانيف مفردة، وقفت على كثير منها". انتهى كلام السيوطي </w:t>
      </w:r>
      <w:r w:rsidRPr="000B4FA9">
        <w:rPr>
          <w:rFonts w:asciiTheme="majorBidi" w:hAnsiTheme="majorBidi" w:cstheme="majorBidi"/>
          <w:b/>
          <w:bCs/>
          <w:sz w:val="18"/>
          <w:szCs w:val="18"/>
          <w:rtl/>
          <w:lang w:bidi="ar-EG"/>
        </w:rPr>
        <w:t>-رحمه الله-</w:t>
      </w:r>
      <w:r w:rsidRPr="000B4FA9">
        <w:rPr>
          <w:rFonts w:asciiTheme="majorBidi" w:hAnsiTheme="majorBidi" w:cstheme="majorBidi"/>
          <w:b/>
          <w:bCs/>
          <w:sz w:val="18"/>
          <w:szCs w:val="18"/>
          <w:rtl/>
        </w:rPr>
        <w:t>.</w:t>
      </w:r>
    </w:p>
    <w:p w:rsidR="000B4FA9" w:rsidRPr="000B4FA9" w:rsidRDefault="000B4FA9" w:rsidP="000B4FA9">
      <w:pPr>
        <w:widowControl w:val="0"/>
        <w:spacing w:after="120" w:line="240" w:lineRule="auto"/>
        <w:jc w:val="lowKashida"/>
        <w:rPr>
          <w:rFonts w:asciiTheme="majorBidi" w:hAnsiTheme="majorBidi" w:cstheme="majorBidi"/>
          <w:b/>
          <w:bCs/>
          <w:sz w:val="18"/>
          <w:szCs w:val="18"/>
          <w:rtl/>
        </w:rPr>
      </w:pPr>
      <w:r w:rsidRPr="000B4FA9">
        <w:rPr>
          <w:rFonts w:asciiTheme="majorBidi" w:hAnsiTheme="majorBidi" w:cstheme="majorBidi"/>
          <w:b/>
          <w:bCs/>
          <w:sz w:val="18"/>
          <w:szCs w:val="18"/>
          <w:rtl/>
        </w:rPr>
        <w:t>ونحن بعون الله، خلال دراستنا لهذا العلْم، سوف نتعرّض لكثير من تلك المباحث بصورة تفصيليّة؛ إلا أن ذلك لا يمنع من إلقاء الضوء عليها باختصار، ليتم للطالب الإلمام بها، والتطلع إلى الاستزادة من المعلومات التفصيلية عنها.</w:t>
      </w:r>
    </w:p>
    <w:p w:rsidR="000B4FA9" w:rsidRPr="000B4FA9" w:rsidRDefault="000B4FA9" w:rsidP="000B4FA9">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0B4FA9">
        <w:rPr>
          <w:rFonts w:asciiTheme="majorBidi" w:hAnsiTheme="majorBidi" w:cstheme="majorBidi"/>
          <w:b/>
          <w:bCs/>
          <w:sz w:val="18"/>
          <w:szCs w:val="18"/>
          <w:rtl/>
        </w:rPr>
        <w:t xml:space="preserve">(الإتقان في علوم القرآن) </w:t>
      </w:r>
    </w:p>
    <w:p w:rsidR="000B4FA9" w:rsidRPr="000B4FA9" w:rsidRDefault="000B4FA9" w:rsidP="000B4FA9">
      <w:pPr>
        <w:spacing w:after="120" w:line="240" w:lineRule="auto"/>
        <w:ind w:left="363" w:hanging="79"/>
        <w:jc w:val="both"/>
        <w:rPr>
          <w:rFonts w:asciiTheme="majorBidi" w:hAnsiTheme="majorBidi" w:cstheme="majorBidi"/>
          <w:b/>
          <w:bCs/>
          <w:sz w:val="18"/>
          <w:szCs w:val="18"/>
        </w:rPr>
      </w:pPr>
      <w:r w:rsidRPr="000B4FA9">
        <w:rPr>
          <w:rFonts w:asciiTheme="majorBidi" w:hAnsiTheme="majorBidi" w:cstheme="majorBidi"/>
          <w:b/>
          <w:bCs/>
          <w:sz w:val="18"/>
          <w:szCs w:val="18"/>
          <w:rtl/>
        </w:rPr>
        <w:t>أبو بكر عبد الرحمن بن الكمال السيوطي, الهيئة المصرية العامة للكتاب، 1974م.</w:t>
      </w:r>
    </w:p>
    <w:p w:rsidR="000B4FA9" w:rsidRPr="000B4FA9" w:rsidRDefault="000B4FA9" w:rsidP="000B4FA9">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0B4FA9">
        <w:rPr>
          <w:rFonts w:asciiTheme="majorBidi" w:hAnsiTheme="majorBidi" w:cstheme="majorBidi"/>
          <w:b/>
          <w:bCs/>
          <w:sz w:val="18"/>
          <w:szCs w:val="18"/>
          <w:rtl/>
        </w:rPr>
        <w:t>(إعجاز القرآن)</w:t>
      </w:r>
    </w:p>
    <w:p w:rsidR="000B4FA9" w:rsidRPr="000B4FA9" w:rsidRDefault="000B4FA9" w:rsidP="000B4FA9">
      <w:pPr>
        <w:spacing w:after="120" w:line="240" w:lineRule="auto"/>
        <w:ind w:left="363" w:hanging="79"/>
        <w:jc w:val="both"/>
        <w:rPr>
          <w:rFonts w:asciiTheme="majorBidi" w:hAnsiTheme="majorBidi" w:cstheme="majorBidi"/>
          <w:b/>
          <w:bCs/>
          <w:sz w:val="18"/>
          <w:szCs w:val="18"/>
        </w:rPr>
      </w:pPr>
      <w:r w:rsidRPr="000B4FA9">
        <w:rPr>
          <w:rFonts w:asciiTheme="majorBidi" w:hAnsiTheme="majorBidi" w:cstheme="majorBidi"/>
          <w:b/>
          <w:bCs/>
          <w:sz w:val="18"/>
          <w:szCs w:val="18"/>
          <w:rtl/>
        </w:rPr>
        <w:t>أبو بكر بن الطيب الباقلاني، تحقيق: عماد الدين حيدر، مؤسسة الكتب الثقافية، 1991م.</w:t>
      </w:r>
    </w:p>
    <w:p w:rsidR="000B4FA9" w:rsidRPr="000B4FA9" w:rsidRDefault="000B4FA9" w:rsidP="000B4FA9">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0B4FA9">
        <w:rPr>
          <w:rFonts w:asciiTheme="majorBidi" w:hAnsiTheme="majorBidi" w:cstheme="majorBidi"/>
          <w:b/>
          <w:bCs/>
          <w:sz w:val="18"/>
          <w:szCs w:val="18"/>
          <w:rtl/>
        </w:rPr>
        <w:t>(البرهان في علوم القرآن)</w:t>
      </w:r>
    </w:p>
    <w:p w:rsidR="000B4FA9" w:rsidRPr="000B4FA9" w:rsidRDefault="000B4FA9" w:rsidP="000B4FA9">
      <w:pPr>
        <w:spacing w:after="120" w:line="240" w:lineRule="auto"/>
        <w:ind w:left="363" w:hanging="79"/>
        <w:jc w:val="both"/>
        <w:rPr>
          <w:rFonts w:asciiTheme="majorBidi" w:hAnsiTheme="majorBidi" w:cstheme="majorBidi"/>
          <w:b/>
          <w:bCs/>
          <w:sz w:val="18"/>
          <w:szCs w:val="18"/>
          <w:rtl/>
        </w:rPr>
      </w:pPr>
      <w:r w:rsidRPr="000B4FA9">
        <w:rPr>
          <w:rFonts w:asciiTheme="majorBidi" w:hAnsiTheme="majorBidi" w:cstheme="majorBidi"/>
          <w:b/>
          <w:bCs/>
          <w:sz w:val="18"/>
          <w:szCs w:val="18"/>
          <w:rtl/>
          <w:lang w:eastAsia="ar-SA"/>
        </w:rPr>
        <w:t>محمد بن بهادر بن عبد الله</w:t>
      </w:r>
      <w:r w:rsidRPr="000B4FA9">
        <w:rPr>
          <w:rFonts w:asciiTheme="majorBidi" w:hAnsiTheme="majorBidi" w:cstheme="majorBidi"/>
          <w:b/>
          <w:bCs/>
          <w:sz w:val="18"/>
          <w:szCs w:val="18"/>
          <w:rtl/>
        </w:rPr>
        <w:t xml:space="preserve"> الزركشي، دار الكتب العلمية، 2001م.</w:t>
      </w:r>
    </w:p>
    <w:p w:rsidR="000B4FA9" w:rsidRPr="000B4FA9" w:rsidRDefault="000B4FA9" w:rsidP="000B4FA9">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0B4FA9">
        <w:rPr>
          <w:rFonts w:asciiTheme="majorBidi" w:hAnsiTheme="majorBidi" w:cstheme="majorBidi"/>
          <w:b/>
          <w:bCs/>
          <w:sz w:val="18"/>
          <w:szCs w:val="18"/>
          <w:rtl/>
        </w:rPr>
        <w:t>(التعريفات)</w:t>
      </w:r>
    </w:p>
    <w:p w:rsidR="000B4FA9" w:rsidRPr="000B4FA9" w:rsidRDefault="000B4FA9" w:rsidP="000B4FA9">
      <w:pPr>
        <w:spacing w:after="120" w:line="240" w:lineRule="auto"/>
        <w:ind w:left="363" w:hanging="79"/>
        <w:jc w:val="both"/>
        <w:rPr>
          <w:rFonts w:asciiTheme="majorBidi" w:hAnsiTheme="majorBidi" w:cstheme="majorBidi"/>
          <w:b/>
          <w:bCs/>
          <w:sz w:val="18"/>
          <w:szCs w:val="18"/>
          <w:rtl/>
        </w:rPr>
      </w:pPr>
      <w:r w:rsidRPr="000B4FA9">
        <w:rPr>
          <w:rFonts w:asciiTheme="majorBidi" w:hAnsiTheme="majorBidi" w:cstheme="majorBidi"/>
          <w:b/>
          <w:bCs/>
          <w:sz w:val="18"/>
          <w:szCs w:val="18"/>
          <w:rtl/>
        </w:rPr>
        <w:t>علي محمد الجرجاني، دار الكتاب المصري، 1991م.</w:t>
      </w:r>
    </w:p>
    <w:p w:rsidR="000B4FA9" w:rsidRPr="000B4FA9" w:rsidRDefault="000B4FA9" w:rsidP="000B4FA9">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0B4FA9">
        <w:rPr>
          <w:rFonts w:asciiTheme="majorBidi" w:hAnsiTheme="majorBidi" w:cstheme="majorBidi"/>
          <w:b/>
          <w:bCs/>
          <w:sz w:val="18"/>
          <w:szCs w:val="18"/>
          <w:rtl/>
        </w:rPr>
        <w:t>(التوقيف على مهمات التعاريف)</w:t>
      </w:r>
    </w:p>
    <w:p w:rsidR="000B4FA9" w:rsidRPr="000B4FA9" w:rsidRDefault="000B4FA9" w:rsidP="000B4FA9">
      <w:pPr>
        <w:spacing w:after="120" w:line="240" w:lineRule="auto"/>
        <w:ind w:left="363" w:hanging="79"/>
        <w:jc w:val="both"/>
        <w:rPr>
          <w:rFonts w:asciiTheme="majorBidi" w:hAnsiTheme="majorBidi" w:cstheme="majorBidi"/>
          <w:b/>
          <w:bCs/>
          <w:sz w:val="18"/>
          <w:szCs w:val="18"/>
          <w:rtl/>
        </w:rPr>
      </w:pPr>
      <w:r w:rsidRPr="000B4FA9">
        <w:rPr>
          <w:rFonts w:asciiTheme="majorBidi" w:hAnsiTheme="majorBidi" w:cstheme="majorBidi"/>
          <w:b/>
          <w:bCs/>
          <w:sz w:val="18"/>
          <w:szCs w:val="18"/>
          <w:rtl/>
        </w:rPr>
        <w:t>محمد عبد الرؤوف المناوي، عالم الكتب، 1990م.</w:t>
      </w:r>
    </w:p>
    <w:p w:rsidR="000B4FA9" w:rsidRPr="000B4FA9" w:rsidRDefault="000B4FA9" w:rsidP="000B4FA9">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0B4FA9">
        <w:rPr>
          <w:rFonts w:asciiTheme="majorBidi" w:hAnsiTheme="majorBidi" w:cstheme="majorBidi"/>
          <w:b/>
          <w:bCs/>
          <w:sz w:val="18"/>
          <w:szCs w:val="18"/>
          <w:rtl/>
        </w:rPr>
        <w:lastRenderedPageBreak/>
        <w:t>(صحيح البخاري مع شرحه فتح الباري)</w:t>
      </w:r>
    </w:p>
    <w:p w:rsidR="000B4FA9" w:rsidRPr="000B4FA9" w:rsidRDefault="000B4FA9" w:rsidP="000B4FA9">
      <w:pPr>
        <w:spacing w:after="120" w:line="240" w:lineRule="auto"/>
        <w:ind w:left="363" w:hanging="79"/>
        <w:jc w:val="both"/>
        <w:rPr>
          <w:rFonts w:asciiTheme="majorBidi" w:hAnsiTheme="majorBidi" w:cstheme="majorBidi"/>
          <w:b/>
          <w:bCs/>
          <w:sz w:val="18"/>
          <w:szCs w:val="18"/>
        </w:rPr>
      </w:pPr>
      <w:r w:rsidRPr="000B4FA9">
        <w:rPr>
          <w:rFonts w:asciiTheme="majorBidi" w:hAnsiTheme="majorBidi" w:cstheme="majorBidi"/>
          <w:b/>
          <w:bCs/>
          <w:sz w:val="18"/>
          <w:szCs w:val="18"/>
          <w:rtl/>
        </w:rPr>
        <w:t>ابن حجر العسقلاني، دار الكتب العلمية، 1997م.</w:t>
      </w:r>
    </w:p>
    <w:p w:rsidR="000B4FA9" w:rsidRPr="000B4FA9" w:rsidRDefault="000B4FA9" w:rsidP="000B4FA9">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0B4FA9">
        <w:rPr>
          <w:rFonts w:asciiTheme="majorBidi" w:hAnsiTheme="majorBidi" w:cstheme="majorBidi"/>
          <w:b/>
          <w:bCs/>
          <w:sz w:val="18"/>
          <w:szCs w:val="18"/>
          <w:rtl/>
        </w:rPr>
        <w:t>(العجاب في بيان الأسباب)</w:t>
      </w:r>
    </w:p>
    <w:p w:rsidR="000B4FA9" w:rsidRPr="000B4FA9" w:rsidRDefault="000B4FA9" w:rsidP="000B4FA9">
      <w:pPr>
        <w:spacing w:after="120" w:line="240" w:lineRule="auto"/>
        <w:ind w:left="363" w:hanging="79"/>
        <w:jc w:val="both"/>
        <w:rPr>
          <w:rFonts w:asciiTheme="majorBidi" w:hAnsiTheme="majorBidi" w:cstheme="majorBidi"/>
          <w:b/>
          <w:bCs/>
          <w:sz w:val="18"/>
          <w:szCs w:val="18"/>
          <w:rtl/>
        </w:rPr>
      </w:pPr>
      <w:r w:rsidRPr="000B4FA9">
        <w:rPr>
          <w:rFonts w:asciiTheme="majorBidi" w:hAnsiTheme="majorBidi" w:cstheme="majorBidi"/>
          <w:b/>
          <w:bCs/>
          <w:sz w:val="18"/>
          <w:szCs w:val="18"/>
          <w:rtl/>
        </w:rPr>
        <w:t xml:space="preserve">ابن حجر العسقلاني، دار ابن الجوزي، 1997م. </w:t>
      </w:r>
    </w:p>
    <w:p w:rsidR="000B4FA9" w:rsidRPr="000B4FA9" w:rsidRDefault="000B4FA9" w:rsidP="000B4FA9">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0B4FA9">
        <w:rPr>
          <w:rFonts w:asciiTheme="majorBidi" w:hAnsiTheme="majorBidi" w:cstheme="majorBidi"/>
          <w:b/>
          <w:bCs/>
          <w:sz w:val="18"/>
          <w:szCs w:val="18"/>
          <w:rtl/>
        </w:rPr>
        <w:t>(فضائل القرآن)</w:t>
      </w:r>
    </w:p>
    <w:p w:rsidR="000B4FA9" w:rsidRPr="000B4FA9" w:rsidRDefault="000B4FA9" w:rsidP="000B4FA9">
      <w:pPr>
        <w:spacing w:after="120" w:line="240" w:lineRule="auto"/>
        <w:ind w:left="363" w:hanging="79"/>
        <w:jc w:val="both"/>
        <w:rPr>
          <w:rFonts w:asciiTheme="majorBidi" w:hAnsiTheme="majorBidi" w:cstheme="majorBidi"/>
          <w:b/>
          <w:bCs/>
          <w:sz w:val="18"/>
          <w:szCs w:val="18"/>
          <w:rtl/>
        </w:rPr>
      </w:pPr>
      <w:r w:rsidRPr="000B4FA9">
        <w:rPr>
          <w:rFonts w:asciiTheme="majorBidi" w:hAnsiTheme="majorBidi" w:cstheme="majorBidi"/>
          <w:b/>
          <w:bCs/>
          <w:sz w:val="18"/>
          <w:szCs w:val="18"/>
          <w:rtl/>
        </w:rPr>
        <w:t>أحمد بن شعيب النسائي، مؤسسة الكتب الثقافية، 1985م.</w:t>
      </w:r>
    </w:p>
    <w:p w:rsidR="000B4FA9" w:rsidRPr="000B4FA9" w:rsidRDefault="000B4FA9" w:rsidP="000B4FA9">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0B4FA9">
        <w:rPr>
          <w:rFonts w:asciiTheme="majorBidi" w:hAnsiTheme="majorBidi" w:cstheme="majorBidi"/>
          <w:b/>
          <w:bCs/>
          <w:sz w:val="18"/>
          <w:szCs w:val="18"/>
          <w:rtl/>
        </w:rPr>
        <w:t>(فيض القدير شرح الجامع الصغير)</w:t>
      </w:r>
    </w:p>
    <w:p w:rsidR="000B4FA9" w:rsidRPr="000B4FA9" w:rsidRDefault="000B4FA9" w:rsidP="000B4FA9">
      <w:pPr>
        <w:spacing w:after="120" w:line="240" w:lineRule="auto"/>
        <w:ind w:left="363" w:hanging="79"/>
        <w:jc w:val="both"/>
        <w:rPr>
          <w:rFonts w:asciiTheme="majorBidi" w:hAnsiTheme="majorBidi" w:cstheme="majorBidi"/>
          <w:b/>
          <w:bCs/>
          <w:sz w:val="18"/>
          <w:szCs w:val="18"/>
          <w:rtl/>
        </w:rPr>
      </w:pPr>
      <w:r w:rsidRPr="000B4FA9">
        <w:rPr>
          <w:rFonts w:asciiTheme="majorBidi" w:hAnsiTheme="majorBidi" w:cstheme="majorBidi"/>
          <w:b/>
          <w:bCs/>
          <w:sz w:val="18"/>
          <w:szCs w:val="18"/>
          <w:rtl/>
        </w:rPr>
        <w:t>محمد بن عبد الرؤوف المناوي، دار المعرفة، 1980م.</w:t>
      </w:r>
    </w:p>
    <w:p w:rsidR="000B4FA9" w:rsidRPr="000B4FA9" w:rsidRDefault="000B4FA9" w:rsidP="000B4FA9">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0B4FA9">
        <w:rPr>
          <w:rFonts w:asciiTheme="majorBidi" w:hAnsiTheme="majorBidi" w:cstheme="majorBidi"/>
          <w:b/>
          <w:bCs/>
          <w:sz w:val="18"/>
          <w:szCs w:val="18"/>
          <w:rtl/>
        </w:rPr>
        <w:t>(السبعة في القراءات)</w:t>
      </w:r>
    </w:p>
    <w:p w:rsidR="000B4FA9" w:rsidRPr="000B4FA9" w:rsidRDefault="000B4FA9" w:rsidP="000B4FA9">
      <w:pPr>
        <w:spacing w:after="120" w:line="240" w:lineRule="auto"/>
        <w:ind w:left="363" w:hanging="79"/>
        <w:jc w:val="both"/>
        <w:rPr>
          <w:rFonts w:asciiTheme="majorBidi" w:hAnsiTheme="majorBidi" w:cstheme="majorBidi"/>
          <w:b/>
          <w:bCs/>
          <w:sz w:val="18"/>
          <w:szCs w:val="18"/>
          <w:rtl/>
        </w:rPr>
      </w:pPr>
      <w:r w:rsidRPr="000B4FA9">
        <w:rPr>
          <w:rFonts w:asciiTheme="majorBidi" w:hAnsiTheme="majorBidi" w:cstheme="majorBidi"/>
          <w:b/>
          <w:bCs/>
          <w:sz w:val="18"/>
          <w:szCs w:val="18"/>
          <w:rtl/>
        </w:rPr>
        <w:t>أحمد بن موسى بن مجاهد، دار المعارف، 1988م.</w:t>
      </w:r>
    </w:p>
    <w:p w:rsidR="000B4FA9" w:rsidRPr="000B4FA9" w:rsidRDefault="000B4FA9" w:rsidP="000B4FA9">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0B4FA9">
        <w:rPr>
          <w:rFonts w:asciiTheme="majorBidi" w:hAnsiTheme="majorBidi" w:cstheme="majorBidi"/>
          <w:b/>
          <w:bCs/>
          <w:sz w:val="18"/>
          <w:szCs w:val="18"/>
          <w:rtl/>
        </w:rPr>
        <w:t>(لسان العرب)</w:t>
      </w:r>
    </w:p>
    <w:p w:rsidR="000B4FA9" w:rsidRPr="000B4FA9" w:rsidRDefault="000B4FA9" w:rsidP="000B4FA9">
      <w:pPr>
        <w:spacing w:after="120" w:line="240" w:lineRule="auto"/>
        <w:ind w:left="363" w:hanging="79"/>
        <w:jc w:val="both"/>
        <w:rPr>
          <w:rFonts w:asciiTheme="majorBidi" w:hAnsiTheme="majorBidi" w:cstheme="majorBidi"/>
          <w:b/>
          <w:bCs/>
          <w:sz w:val="18"/>
          <w:szCs w:val="18"/>
          <w:rtl/>
        </w:rPr>
      </w:pPr>
      <w:r w:rsidRPr="000B4FA9">
        <w:rPr>
          <w:rFonts w:asciiTheme="majorBidi" w:hAnsiTheme="majorBidi" w:cstheme="majorBidi"/>
          <w:b/>
          <w:bCs/>
          <w:sz w:val="18"/>
          <w:szCs w:val="18"/>
          <w:rtl/>
        </w:rPr>
        <w:t>محمد بن مكرم بن منظور، طبعة دار إحياء التراث العربي، 1999م.</w:t>
      </w:r>
    </w:p>
    <w:p w:rsidR="000B4FA9" w:rsidRPr="000B4FA9" w:rsidRDefault="000B4FA9" w:rsidP="000B4FA9">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0B4FA9">
        <w:rPr>
          <w:rFonts w:asciiTheme="majorBidi" w:hAnsiTheme="majorBidi" w:cstheme="majorBidi"/>
          <w:b/>
          <w:bCs/>
          <w:sz w:val="18"/>
          <w:szCs w:val="18"/>
          <w:rtl/>
        </w:rPr>
        <w:t>(مباحث في علوم القرآن)</w:t>
      </w:r>
    </w:p>
    <w:p w:rsidR="000B4FA9" w:rsidRPr="000B4FA9" w:rsidRDefault="000B4FA9" w:rsidP="000B4FA9">
      <w:pPr>
        <w:spacing w:after="120" w:line="240" w:lineRule="auto"/>
        <w:ind w:left="363" w:hanging="79"/>
        <w:jc w:val="both"/>
        <w:rPr>
          <w:rFonts w:asciiTheme="majorBidi" w:hAnsiTheme="majorBidi" w:cstheme="majorBidi"/>
          <w:b/>
          <w:bCs/>
          <w:sz w:val="18"/>
          <w:szCs w:val="18"/>
          <w:rtl/>
        </w:rPr>
      </w:pPr>
      <w:r w:rsidRPr="000B4FA9">
        <w:rPr>
          <w:rFonts w:asciiTheme="majorBidi" w:hAnsiTheme="majorBidi" w:cstheme="majorBidi"/>
          <w:b/>
          <w:bCs/>
          <w:sz w:val="18"/>
          <w:szCs w:val="18"/>
          <w:rtl/>
        </w:rPr>
        <w:t>صبحي الصالح، دار العلم للملايين، 2002م.</w:t>
      </w:r>
    </w:p>
    <w:p w:rsidR="000B4FA9" w:rsidRPr="000B4FA9" w:rsidRDefault="000B4FA9" w:rsidP="000B4FA9">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0B4FA9">
        <w:rPr>
          <w:rFonts w:asciiTheme="majorBidi" w:hAnsiTheme="majorBidi" w:cstheme="majorBidi"/>
          <w:b/>
          <w:bCs/>
          <w:sz w:val="18"/>
          <w:szCs w:val="18"/>
          <w:rtl/>
        </w:rPr>
        <w:t>(مباحث في علوم القرآن)</w:t>
      </w:r>
    </w:p>
    <w:p w:rsidR="000B4FA9" w:rsidRPr="000B4FA9" w:rsidRDefault="000B4FA9" w:rsidP="000B4FA9">
      <w:pPr>
        <w:spacing w:after="120" w:line="240" w:lineRule="auto"/>
        <w:ind w:left="363" w:hanging="79"/>
        <w:jc w:val="both"/>
        <w:rPr>
          <w:rFonts w:asciiTheme="majorBidi" w:hAnsiTheme="majorBidi" w:cstheme="majorBidi"/>
          <w:b/>
          <w:bCs/>
          <w:sz w:val="18"/>
          <w:szCs w:val="18"/>
          <w:rtl/>
        </w:rPr>
      </w:pPr>
      <w:r w:rsidRPr="000B4FA9">
        <w:rPr>
          <w:rFonts w:asciiTheme="majorBidi" w:hAnsiTheme="majorBidi" w:cstheme="majorBidi"/>
          <w:b/>
          <w:bCs/>
          <w:sz w:val="18"/>
          <w:szCs w:val="18"/>
          <w:rtl/>
        </w:rPr>
        <w:t>مناع خليل القطان، مؤسسة الرسالة للطباعة والنشر والتوزيع، 2000م.</w:t>
      </w:r>
    </w:p>
    <w:p w:rsidR="000B4FA9" w:rsidRPr="000B4FA9" w:rsidRDefault="000B4FA9" w:rsidP="000B4FA9">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0B4FA9">
        <w:rPr>
          <w:rFonts w:asciiTheme="majorBidi" w:hAnsiTheme="majorBidi" w:cstheme="majorBidi"/>
          <w:b/>
          <w:bCs/>
          <w:sz w:val="18"/>
          <w:szCs w:val="18"/>
          <w:rtl/>
        </w:rPr>
        <w:t>(المستدرك على الصحيحين)</w:t>
      </w:r>
    </w:p>
    <w:p w:rsidR="000B4FA9" w:rsidRPr="000B4FA9" w:rsidRDefault="000B4FA9" w:rsidP="000B4FA9">
      <w:pPr>
        <w:spacing w:after="120" w:line="240" w:lineRule="auto"/>
        <w:ind w:left="363" w:hanging="79"/>
        <w:jc w:val="both"/>
        <w:rPr>
          <w:rFonts w:asciiTheme="majorBidi" w:hAnsiTheme="majorBidi" w:cstheme="majorBidi"/>
          <w:b/>
          <w:bCs/>
          <w:sz w:val="18"/>
          <w:szCs w:val="18"/>
          <w:rtl/>
        </w:rPr>
      </w:pPr>
      <w:r w:rsidRPr="000B4FA9">
        <w:rPr>
          <w:rFonts w:asciiTheme="majorBidi" w:hAnsiTheme="majorBidi" w:cstheme="majorBidi"/>
          <w:b/>
          <w:bCs/>
          <w:sz w:val="18"/>
          <w:szCs w:val="18"/>
          <w:rtl/>
        </w:rPr>
        <w:t>محمد بن عبد الله الحاكم النيسابوري، دار الكتب العلمية، 1990م.</w:t>
      </w:r>
    </w:p>
    <w:p w:rsidR="000B4FA9" w:rsidRPr="000B4FA9" w:rsidRDefault="000B4FA9" w:rsidP="000B4FA9">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0B4FA9">
        <w:rPr>
          <w:rFonts w:asciiTheme="majorBidi" w:hAnsiTheme="majorBidi" w:cstheme="majorBidi"/>
          <w:b/>
          <w:bCs/>
          <w:sz w:val="18"/>
          <w:szCs w:val="18"/>
          <w:rtl/>
        </w:rPr>
        <w:t>(مناهل العرفان)</w:t>
      </w:r>
    </w:p>
    <w:p w:rsidR="000B4FA9" w:rsidRPr="000B4FA9" w:rsidRDefault="000B4FA9" w:rsidP="000B4FA9">
      <w:pPr>
        <w:spacing w:after="120" w:line="240" w:lineRule="auto"/>
        <w:ind w:left="363" w:hanging="79"/>
        <w:jc w:val="both"/>
        <w:rPr>
          <w:rFonts w:asciiTheme="majorBidi" w:hAnsiTheme="majorBidi" w:cstheme="majorBidi"/>
          <w:b/>
          <w:bCs/>
          <w:sz w:val="18"/>
          <w:szCs w:val="18"/>
        </w:rPr>
      </w:pPr>
      <w:r w:rsidRPr="000B4FA9">
        <w:rPr>
          <w:rFonts w:asciiTheme="majorBidi" w:hAnsiTheme="majorBidi" w:cstheme="majorBidi"/>
          <w:b/>
          <w:bCs/>
          <w:sz w:val="18"/>
          <w:szCs w:val="18"/>
          <w:rtl/>
        </w:rPr>
        <w:t>محمد بن عبد العظيم الزرقاني، دار الكتب العلمية، 2003م.</w:t>
      </w:r>
    </w:p>
    <w:p w:rsidR="000B4FA9" w:rsidRPr="000B4FA9" w:rsidRDefault="000B4FA9" w:rsidP="000B4FA9">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0B4FA9">
        <w:rPr>
          <w:rFonts w:asciiTheme="majorBidi" w:hAnsiTheme="majorBidi" w:cstheme="majorBidi"/>
          <w:b/>
          <w:bCs/>
          <w:sz w:val="18"/>
          <w:szCs w:val="18"/>
          <w:rtl/>
        </w:rPr>
        <w:t>(التبيان في تفسير غريب القرآن)</w:t>
      </w:r>
    </w:p>
    <w:p w:rsidR="000B4FA9" w:rsidRPr="000B4FA9" w:rsidRDefault="000B4FA9" w:rsidP="000B4FA9">
      <w:pPr>
        <w:spacing w:after="120" w:line="240" w:lineRule="auto"/>
        <w:ind w:left="363" w:hanging="79"/>
        <w:jc w:val="both"/>
        <w:rPr>
          <w:rFonts w:asciiTheme="majorBidi" w:hAnsiTheme="majorBidi" w:cstheme="majorBidi"/>
          <w:b/>
          <w:bCs/>
          <w:sz w:val="18"/>
          <w:szCs w:val="18"/>
          <w:rtl/>
        </w:rPr>
      </w:pPr>
      <w:r w:rsidRPr="000B4FA9">
        <w:rPr>
          <w:rFonts w:asciiTheme="majorBidi" w:hAnsiTheme="majorBidi" w:cstheme="majorBidi"/>
          <w:b/>
          <w:bCs/>
          <w:sz w:val="18"/>
          <w:szCs w:val="18"/>
          <w:rtl/>
        </w:rPr>
        <w:t>شهاب الدين أحمد بن محمد الهائم المصري، المكتبة المحمودية، 1960م.</w:t>
      </w:r>
    </w:p>
    <w:p w:rsidR="000B4FA9" w:rsidRPr="000B4FA9" w:rsidRDefault="000B4FA9" w:rsidP="000B4FA9">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0B4FA9">
        <w:rPr>
          <w:rFonts w:asciiTheme="majorBidi" w:hAnsiTheme="majorBidi" w:cstheme="majorBidi"/>
          <w:b/>
          <w:bCs/>
          <w:sz w:val="18"/>
          <w:szCs w:val="18"/>
          <w:rtl/>
        </w:rPr>
        <w:t>(دلائل الإعجاز)</w:t>
      </w:r>
    </w:p>
    <w:p w:rsidR="000B4FA9" w:rsidRPr="000B4FA9" w:rsidRDefault="000B4FA9" w:rsidP="000B4FA9">
      <w:pPr>
        <w:spacing w:after="120" w:line="240" w:lineRule="auto"/>
        <w:ind w:left="363" w:hanging="79"/>
        <w:jc w:val="both"/>
        <w:rPr>
          <w:rFonts w:asciiTheme="majorBidi" w:hAnsiTheme="majorBidi" w:cstheme="majorBidi"/>
          <w:b/>
          <w:bCs/>
          <w:sz w:val="18"/>
          <w:szCs w:val="18"/>
          <w:rtl/>
        </w:rPr>
      </w:pPr>
      <w:r w:rsidRPr="000B4FA9">
        <w:rPr>
          <w:rFonts w:asciiTheme="majorBidi" w:hAnsiTheme="majorBidi" w:cstheme="majorBidi"/>
          <w:b/>
          <w:bCs/>
          <w:sz w:val="18"/>
          <w:szCs w:val="18"/>
          <w:rtl/>
        </w:rPr>
        <w:t>عبد القاهر الجرجاني، دار الكتب العلمية، 1988م.</w:t>
      </w:r>
    </w:p>
    <w:p w:rsidR="000B4FA9" w:rsidRPr="000B4FA9" w:rsidRDefault="000B4FA9" w:rsidP="000B4FA9">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0B4FA9">
        <w:rPr>
          <w:rFonts w:asciiTheme="majorBidi" w:hAnsiTheme="majorBidi" w:cstheme="majorBidi"/>
          <w:b/>
          <w:bCs/>
          <w:sz w:val="18"/>
          <w:szCs w:val="18"/>
          <w:rtl/>
        </w:rPr>
        <w:t>(فهم القرآن)</w:t>
      </w:r>
    </w:p>
    <w:p w:rsidR="000B4FA9" w:rsidRPr="000B4FA9" w:rsidRDefault="000B4FA9" w:rsidP="000B4FA9">
      <w:pPr>
        <w:spacing w:after="120" w:line="240" w:lineRule="auto"/>
        <w:ind w:left="363" w:hanging="79"/>
        <w:jc w:val="both"/>
        <w:rPr>
          <w:rFonts w:asciiTheme="majorBidi" w:hAnsiTheme="majorBidi" w:cstheme="majorBidi"/>
          <w:b/>
          <w:bCs/>
          <w:sz w:val="18"/>
          <w:szCs w:val="18"/>
          <w:rtl/>
        </w:rPr>
      </w:pPr>
      <w:r w:rsidRPr="000B4FA9">
        <w:rPr>
          <w:rFonts w:asciiTheme="majorBidi" w:hAnsiTheme="majorBidi" w:cstheme="majorBidi"/>
          <w:b/>
          <w:bCs/>
          <w:sz w:val="18"/>
          <w:szCs w:val="18"/>
          <w:rtl/>
        </w:rPr>
        <w:t>الحارث بن أسد المحاسبي، دار الكندي للطباعة والنشر، 1982م.</w:t>
      </w:r>
    </w:p>
    <w:p w:rsidR="000B4FA9" w:rsidRPr="000B4FA9" w:rsidRDefault="000B4FA9" w:rsidP="000B4FA9">
      <w:pPr>
        <w:widowControl w:val="0"/>
        <w:numPr>
          <w:ilvl w:val="0"/>
          <w:numId w:val="1"/>
        </w:numPr>
        <w:tabs>
          <w:tab w:val="clear" w:pos="6"/>
        </w:tabs>
        <w:spacing w:after="120" w:line="240" w:lineRule="auto"/>
        <w:ind w:left="363"/>
        <w:jc w:val="both"/>
        <w:rPr>
          <w:rFonts w:asciiTheme="majorBidi" w:hAnsiTheme="majorBidi" w:cstheme="majorBidi"/>
          <w:b/>
          <w:bCs/>
          <w:sz w:val="18"/>
          <w:szCs w:val="18"/>
        </w:rPr>
      </w:pPr>
      <w:r w:rsidRPr="000B4FA9">
        <w:rPr>
          <w:rFonts w:asciiTheme="majorBidi" w:hAnsiTheme="majorBidi" w:cstheme="majorBidi"/>
          <w:b/>
          <w:bCs/>
          <w:sz w:val="18"/>
          <w:szCs w:val="18"/>
          <w:rtl/>
        </w:rPr>
        <w:t>(نفائس البيان شرح الفرائد الحسان في عد آي القرآن)</w:t>
      </w:r>
    </w:p>
    <w:p w:rsidR="000B4FA9" w:rsidRPr="000B4FA9" w:rsidRDefault="000B4FA9" w:rsidP="000B4FA9">
      <w:pPr>
        <w:spacing w:after="120" w:line="240" w:lineRule="auto"/>
        <w:ind w:left="363" w:hanging="79"/>
        <w:jc w:val="lowKashida"/>
        <w:rPr>
          <w:rFonts w:asciiTheme="majorBidi" w:hAnsiTheme="majorBidi" w:cstheme="majorBidi"/>
          <w:b/>
          <w:bCs/>
          <w:sz w:val="18"/>
          <w:szCs w:val="18"/>
        </w:rPr>
      </w:pPr>
      <w:r w:rsidRPr="000B4FA9">
        <w:rPr>
          <w:rFonts w:asciiTheme="majorBidi" w:hAnsiTheme="majorBidi" w:cstheme="majorBidi"/>
          <w:b/>
          <w:bCs/>
          <w:sz w:val="18"/>
          <w:szCs w:val="18"/>
          <w:rtl/>
        </w:rPr>
        <w:t>الشيخ عبد الفتاح القاضي، مطبعة عيسى البابي الحلبي، ١٣٥٥هـ.</w:t>
      </w:r>
    </w:p>
    <w:p w:rsidR="000B4FA9" w:rsidRPr="000B4FA9" w:rsidRDefault="000B4FA9" w:rsidP="000B4FA9">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0B4FA9">
        <w:rPr>
          <w:rFonts w:asciiTheme="majorBidi" w:hAnsiTheme="majorBidi" w:cstheme="majorBidi"/>
          <w:b/>
          <w:bCs/>
          <w:sz w:val="18"/>
          <w:szCs w:val="18"/>
          <w:rtl/>
        </w:rPr>
        <w:t>(الأصلان في علوم القرآن)</w:t>
      </w:r>
    </w:p>
    <w:p w:rsidR="000B4FA9" w:rsidRPr="000B4FA9" w:rsidRDefault="000B4FA9" w:rsidP="000B4FA9">
      <w:pPr>
        <w:spacing w:after="120" w:line="240" w:lineRule="auto"/>
        <w:ind w:left="363" w:hanging="79"/>
        <w:jc w:val="lowKashida"/>
        <w:rPr>
          <w:rFonts w:asciiTheme="majorBidi" w:hAnsiTheme="majorBidi" w:cstheme="majorBidi"/>
          <w:b/>
          <w:bCs/>
          <w:sz w:val="18"/>
          <w:szCs w:val="18"/>
        </w:rPr>
      </w:pPr>
      <w:r w:rsidRPr="000B4FA9">
        <w:rPr>
          <w:rFonts w:asciiTheme="majorBidi" w:hAnsiTheme="majorBidi" w:cstheme="majorBidi"/>
          <w:b/>
          <w:bCs/>
          <w:sz w:val="18"/>
          <w:szCs w:val="18"/>
          <w:rtl/>
        </w:rPr>
        <w:t>محمد عبد المنعم القيعي، طبعة المكتبات الأزهرية، ١٩٨٠م.</w:t>
      </w:r>
    </w:p>
    <w:p w:rsidR="000B4FA9" w:rsidRPr="000B4FA9" w:rsidRDefault="000B4FA9" w:rsidP="000B4FA9">
      <w:pPr>
        <w:widowControl w:val="0"/>
        <w:numPr>
          <w:ilvl w:val="0"/>
          <w:numId w:val="1"/>
        </w:numPr>
        <w:tabs>
          <w:tab w:val="clear" w:pos="6"/>
        </w:tabs>
        <w:spacing w:after="120" w:line="240" w:lineRule="auto"/>
        <w:ind w:left="363"/>
        <w:jc w:val="both"/>
        <w:rPr>
          <w:rFonts w:asciiTheme="majorBidi" w:hAnsiTheme="majorBidi" w:cstheme="majorBidi"/>
          <w:b/>
          <w:bCs/>
          <w:sz w:val="18"/>
          <w:szCs w:val="18"/>
        </w:rPr>
      </w:pPr>
      <w:r w:rsidRPr="000B4FA9">
        <w:rPr>
          <w:rFonts w:asciiTheme="majorBidi" w:hAnsiTheme="majorBidi" w:cstheme="majorBidi"/>
          <w:b/>
          <w:bCs/>
          <w:sz w:val="18"/>
          <w:szCs w:val="18"/>
          <w:rtl/>
        </w:rPr>
        <w:t>(مختصر في قواعد التفسير)</w:t>
      </w:r>
    </w:p>
    <w:p w:rsidR="000B4FA9" w:rsidRPr="000B4FA9" w:rsidRDefault="000B4FA9" w:rsidP="000B4FA9">
      <w:pPr>
        <w:spacing w:after="120" w:line="240" w:lineRule="auto"/>
        <w:ind w:left="363" w:hanging="79"/>
        <w:jc w:val="lowKashida"/>
        <w:rPr>
          <w:rFonts w:asciiTheme="majorBidi" w:hAnsiTheme="majorBidi" w:cstheme="majorBidi"/>
          <w:b/>
          <w:bCs/>
          <w:sz w:val="18"/>
          <w:szCs w:val="18"/>
        </w:rPr>
      </w:pPr>
      <w:r w:rsidRPr="000B4FA9">
        <w:rPr>
          <w:rFonts w:asciiTheme="majorBidi" w:hAnsiTheme="majorBidi" w:cstheme="majorBidi"/>
          <w:b/>
          <w:bCs/>
          <w:sz w:val="18"/>
          <w:szCs w:val="18"/>
          <w:rtl/>
        </w:rPr>
        <w:t>خالد السبت، مطبعة ابن الجوزي، ١٤٢٣هـ.</w:t>
      </w:r>
    </w:p>
    <w:p w:rsidR="000B4FA9" w:rsidRPr="000B4FA9" w:rsidRDefault="000B4FA9" w:rsidP="000B4FA9">
      <w:pPr>
        <w:widowControl w:val="0"/>
        <w:numPr>
          <w:ilvl w:val="0"/>
          <w:numId w:val="1"/>
        </w:numPr>
        <w:tabs>
          <w:tab w:val="clear" w:pos="6"/>
        </w:tabs>
        <w:spacing w:after="120" w:line="240" w:lineRule="auto"/>
        <w:ind w:left="363"/>
        <w:jc w:val="both"/>
        <w:rPr>
          <w:rFonts w:asciiTheme="majorBidi" w:hAnsiTheme="majorBidi" w:cstheme="majorBidi"/>
          <w:b/>
          <w:bCs/>
          <w:sz w:val="18"/>
          <w:szCs w:val="18"/>
        </w:rPr>
      </w:pPr>
      <w:r w:rsidRPr="000B4FA9">
        <w:rPr>
          <w:rFonts w:asciiTheme="majorBidi" w:hAnsiTheme="majorBidi" w:cstheme="majorBidi"/>
          <w:b/>
          <w:bCs/>
          <w:sz w:val="18"/>
          <w:szCs w:val="18"/>
          <w:rtl/>
        </w:rPr>
        <w:t>(الصحيح المسند من أسباب النزول)</w:t>
      </w:r>
    </w:p>
    <w:p w:rsidR="000B4FA9" w:rsidRPr="000B4FA9" w:rsidRDefault="000B4FA9" w:rsidP="000B4FA9">
      <w:pPr>
        <w:spacing w:after="120" w:line="240" w:lineRule="auto"/>
        <w:ind w:left="363" w:hanging="79"/>
        <w:jc w:val="lowKashida"/>
        <w:rPr>
          <w:rFonts w:asciiTheme="majorBidi" w:hAnsiTheme="majorBidi" w:cstheme="majorBidi"/>
          <w:b/>
          <w:bCs/>
          <w:sz w:val="18"/>
          <w:szCs w:val="18"/>
          <w:rtl/>
        </w:rPr>
      </w:pPr>
      <w:r w:rsidRPr="000B4FA9">
        <w:rPr>
          <w:rFonts w:asciiTheme="majorBidi" w:hAnsiTheme="majorBidi" w:cstheme="majorBidi"/>
          <w:b/>
          <w:bCs/>
          <w:sz w:val="18"/>
          <w:szCs w:val="18"/>
          <w:rtl/>
        </w:rPr>
        <w:t>مقبل بن هادي الوادعي، الرياض،  مكتبة المعارف، 1400هـ.</w:t>
      </w:r>
    </w:p>
    <w:p w:rsidR="000B4FA9" w:rsidRPr="000B4FA9" w:rsidRDefault="000B4FA9" w:rsidP="000B4FA9">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0B4FA9">
        <w:rPr>
          <w:rFonts w:asciiTheme="majorBidi" w:hAnsiTheme="majorBidi" w:cstheme="majorBidi"/>
          <w:b/>
          <w:bCs/>
          <w:sz w:val="18"/>
          <w:szCs w:val="18"/>
          <w:rtl/>
        </w:rPr>
        <w:t>(موسوعة فضائل سور وآيات القرآن)</w:t>
      </w:r>
    </w:p>
    <w:p w:rsidR="000B4FA9" w:rsidRPr="000B4FA9" w:rsidRDefault="000B4FA9" w:rsidP="000B4FA9">
      <w:pPr>
        <w:spacing w:after="120" w:line="240" w:lineRule="auto"/>
        <w:ind w:left="363" w:hanging="79"/>
        <w:jc w:val="lowKashida"/>
        <w:rPr>
          <w:rFonts w:asciiTheme="majorBidi" w:hAnsiTheme="majorBidi" w:cstheme="majorBidi"/>
          <w:b/>
          <w:bCs/>
          <w:sz w:val="18"/>
          <w:szCs w:val="18"/>
          <w:rtl/>
        </w:rPr>
      </w:pPr>
      <w:r w:rsidRPr="000B4FA9">
        <w:rPr>
          <w:rFonts w:asciiTheme="majorBidi" w:hAnsiTheme="majorBidi" w:cstheme="majorBidi"/>
          <w:b/>
          <w:bCs/>
          <w:sz w:val="18"/>
          <w:szCs w:val="18"/>
          <w:rtl/>
        </w:rPr>
        <w:t>محمد بن رزق الطرهوني، مكتبة العلم، 1994م.</w:t>
      </w:r>
    </w:p>
    <w:p w:rsidR="000B4FA9" w:rsidRPr="000B4FA9" w:rsidRDefault="000B4FA9" w:rsidP="000B4FA9">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0B4FA9">
        <w:rPr>
          <w:rFonts w:asciiTheme="majorBidi" w:hAnsiTheme="majorBidi" w:cstheme="majorBidi"/>
          <w:b/>
          <w:bCs/>
          <w:sz w:val="18"/>
          <w:szCs w:val="18"/>
          <w:rtl/>
        </w:rPr>
        <w:t>(سنن القرّاء ومناهج المجوّدين)</w:t>
      </w:r>
    </w:p>
    <w:p w:rsidR="000B4FA9" w:rsidRPr="000B4FA9" w:rsidRDefault="000B4FA9" w:rsidP="000B4FA9">
      <w:pPr>
        <w:spacing w:after="120" w:line="240" w:lineRule="auto"/>
        <w:ind w:left="363" w:hanging="79"/>
        <w:jc w:val="lowKashida"/>
        <w:rPr>
          <w:rFonts w:asciiTheme="majorBidi" w:hAnsiTheme="majorBidi" w:cstheme="majorBidi"/>
          <w:b/>
          <w:bCs/>
          <w:sz w:val="18"/>
          <w:szCs w:val="18"/>
        </w:rPr>
      </w:pPr>
      <w:r w:rsidRPr="000B4FA9">
        <w:rPr>
          <w:rFonts w:asciiTheme="majorBidi" w:hAnsiTheme="majorBidi" w:cstheme="majorBidi"/>
          <w:b/>
          <w:bCs/>
          <w:sz w:val="18"/>
          <w:szCs w:val="18"/>
          <w:rtl/>
        </w:rPr>
        <w:t>عبد العزيز القارئ، مكتبة الدار للنشر والتوزيع، 2000م.</w:t>
      </w:r>
    </w:p>
    <w:p w:rsidR="000B4FA9" w:rsidRPr="000B4FA9" w:rsidRDefault="000B4FA9" w:rsidP="000B4FA9">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0B4FA9">
        <w:rPr>
          <w:rFonts w:asciiTheme="majorBidi" w:hAnsiTheme="majorBidi" w:cstheme="majorBidi"/>
          <w:b/>
          <w:bCs/>
          <w:sz w:val="18"/>
          <w:szCs w:val="18"/>
          <w:rtl/>
        </w:rPr>
        <w:t>(النشر في القراءات العشر)</w:t>
      </w:r>
    </w:p>
    <w:p w:rsidR="000B4FA9" w:rsidRPr="000B4FA9" w:rsidRDefault="000B4FA9" w:rsidP="000B4FA9">
      <w:pPr>
        <w:spacing w:line="240" w:lineRule="auto"/>
        <w:jc w:val="both"/>
        <w:rPr>
          <w:rFonts w:asciiTheme="majorBidi" w:hAnsiTheme="majorBidi" w:cstheme="majorBidi"/>
          <w:b/>
          <w:bCs/>
          <w:sz w:val="18"/>
          <w:szCs w:val="18"/>
          <w:rtl/>
        </w:rPr>
      </w:pPr>
      <w:r w:rsidRPr="000B4FA9">
        <w:rPr>
          <w:rFonts w:asciiTheme="majorBidi" w:hAnsiTheme="majorBidi" w:cstheme="majorBidi"/>
          <w:b/>
          <w:bCs/>
          <w:sz w:val="18"/>
          <w:szCs w:val="18"/>
          <w:rtl/>
        </w:rPr>
        <w:t>محمد بن الجزري، المكتبة التجارية الكبرى، 1970م.</w:t>
      </w:r>
    </w:p>
    <w:p w:rsidR="000B4FA9" w:rsidRDefault="000B4FA9" w:rsidP="000B4FA9">
      <w:pPr>
        <w:rPr>
          <w:rFonts w:asciiTheme="majorBidi" w:hAnsiTheme="majorBidi" w:cstheme="majorBidi"/>
          <w:sz w:val="18"/>
          <w:szCs w:val="18"/>
          <w:rtl/>
        </w:rPr>
        <w:sectPr w:rsidR="000B4FA9" w:rsidSect="000B4FA9">
          <w:type w:val="continuous"/>
          <w:pgSz w:w="11906" w:h="16838"/>
          <w:pgMar w:top="1440" w:right="1440" w:bottom="1440" w:left="1440" w:header="720" w:footer="720" w:gutter="0"/>
          <w:cols w:num="2" w:space="720"/>
          <w:bidi/>
          <w:rtlGutter/>
          <w:docGrid w:linePitch="360"/>
        </w:sectPr>
      </w:pPr>
    </w:p>
    <w:p w:rsidR="000B4FA9" w:rsidRPr="000B4FA9" w:rsidRDefault="000B4FA9" w:rsidP="000B4FA9">
      <w:pPr>
        <w:rPr>
          <w:rFonts w:asciiTheme="majorBidi" w:hAnsiTheme="majorBidi" w:cstheme="majorBidi"/>
          <w:sz w:val="18"/>
          <w:szCs w:val="18"/>
        </w:rPr>
      </w:pPr>
    </w:p>
    <w:sectPr w:rsidR="000B4FA9" w:rsidRPr="000B4FA9" w:rsidSect="000B4FA9">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Rasheeq Bold">
    <w:altName w:val="Times New Roman"/>
    <w:charset w:val="B2"/>
    <w:family w:val="auto"/>
    <w:pitch w:val="variable"/>
    <w:sig w:usb0="00002000"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91235"/>
    <w:multiLevelType w:val="hybridMultilevel"/>
    <w:tmpl w:val="3FA4CB82"/>
    <w:lvl w:ilvl="0" w:tplc="46886728">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
    <w:nsid w:val="4A461ED3"/>
    <w:multiLevelType w:val="hybridMultilevel"/>
    <w:tmpl w:val="893C6592"/>
    <w:lvl w:ilvl="0" w:tplc="94D654B6">
      <w:start w:val="1"/>
      <w:numFmt w:val="decimal"/>
      <w:lvlRestart w:val="0"/>
      <w:lvlText w:val="%1."/>
      <w:lvlJc w:val="left"/>
      <w:pPr>
        <w:tabs>
          <w:tab w:val="num" w:pos="6"/>
        </w:tabs>
        <w:ind w:left="714"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8DD4067"/>
    <w:multiLevelType w:val="hybridMultilevel"/>
    <w:tmpl w:val="01A0C4B8"/>
    <w:lvl w:ilvl="0" w:tplc="1BB2DDB4">
      <w:start w:val="1"/>
      <w:numFmt w:val="bullet"/>
      <w:lvlText w:val=""/>
      <w:lvlJc w:val="center"/>
      <w:pPr>
        <w:ind w:left="1183" w:hanging="360"/>
      </w:pPr>
      <w:rPr>
        <w:rFonts w:ascii="Symbol" w:hAnsi="Symbol" w:cs="Symbol" w:hint="default"/>
      </w:rPr>
    </w:lvl>
    <w:lvl w:ilvl="1" w:tplc="04090003" w:tentative="1">
      <w:start w:val="1"/>
      <w:numFmt w:val="bullet"/>
      <w:lvlText w:val="o"/>
      <w:lvlJc w:val="left"/>
      <w:pPr>
        <w:ind w:left="1903" w:hanging="360"/>
      </w:pPr>
      <w:rPr>
        <w:rFonts w:ascii="Courier New" w:hAnsi="Courier New" w:cs="Courier New" w:hint="default"/>
      </w:rPr>
    </w:lvl>
    <w:lvl w:ilvl="2" w:tplc="04090005" w:tentative="1">
      <w:start w:val="1"/>
      <w:numFmt w:val="bullet"/>
      <w:lvlText w:val=""/>
      <w:lvlJc w:val="left"/>
      <w:pPr>
        <w:ind w:left="2623" w:hanging="360"/>
      </w:pPr>
      <w:rPr>
        <w:rFonts w:ascii="Wingdings" w:hAnsi="Wingdings" w:hint="default"/>
      </w:rPr>
    </w:lvl>
    <w:lvl w:ilvl="3" w:tplc="04090001" w:tentative="1">
      <w:start w:val="1"/>
      <w:numFmt w:val="bullet"/>
      <w:lvlText w:val=""/>
      <w:lvlJc w:val="left"/>
      <w:pPr>
        <w:ind w:left="3343" w:hanging="360"/>
      </w:pPr>
      <w:rPr>
        <w:rFonts w:ascii="Symbol" w:hAnsi="Symbol" w:hint="default"/>
      </w:rPr>
    </w:lvl>
    <w:lvl w:ilvl="4" w:tplc="04090003" w:tentative="1">
      <w:start w:val="1"/>
      <w:numFmt w:val="bullet"/>
      <w:lvlText w:val="o"/>
      <w:lvlJc w:val="left"/>
      <w:pPr>
        <w:ind w:left="4063" w:hanging="360"/>
      </w:pPr>
      <w:rPr>
        <w:rFonts w:ascii="Courier New" w:hAnsi="Courier New" w:cs="Courier New" w:hint="default"/>
      </w:rPr>
    </w:lvl>
    <w:lvl w:ilvl="5" w:tplc="04090005" w:tentative="1">
      <w:start w:val="1"/>
      <w:numFmt w:val="bullet"/>
      <w:lvlText w:val=""/>
      <w:lvlJc w:val="left"/>
      <w:pPr>
        <w:ind w:left="4783" w:hanging="360"/>
      </w:pPr>
      <w:rPr>
        <w:rFonts w:ascii="Wingdings" w:hAnsi="Wingdings" w:hint="default"/>
      </w:rPr>
    </w:lvl>
    <w:lvl w:ilvl="6" w:tplc="04090001" w:tentative="1">
      <w:start w:val="1"/>
      <w:numFmt w:val="bullet"/>
      <w:lvlText w:val=""/>
      <w:lvlJc w:val="left"/>
      <w:pPr>
        <w:ind w:left="5503" w:hanging="360"/>
      </w:pPr>
      <w:rPr>
        <w:rFonts w:ascii="Symbol" w:hAnsi="Symbol" w:hint="default"/>
      </w:rPr>
    </w:lvl>
    <w:lvl w:ilvl="7" w:tplc="04090003" w:tentative="1">
      <w:start w:val="1"/>
      <w:numFmt w:val="bullet"/>
      <w:lvlText w:val="o"/>
      <w:lvlJc w:val="left"/>
      <w:pPr>
        <w:ind w:left="6223" w:hanging="360"/>
      </w:pPr>
      <w:rPr>
        <w:rFonts w:ascii="Courier New" w:hAnsi="Courier New" w:cs="Courier New" w:hint="default"/>
      </w:rPr>
    </w:lvl>
    <w:lvl w:ilvl="8" w:tplc="04090005" w:tentative="1">
      <w:start w:val="1"/>
      <w:numFmt w:val="bullet"/>
      <w:lvlText w:val=""/>
      <w:lvlJc w:val="left"/>
      <w:pPr>
        <w:ind w:left="694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compat/>
  <w:rsids>
    <w:rsidRoot w:val="000B4FA9"/>
    <w:rsid w:val="000B4FA9"/>
    <w:rsid w:val="00400623"/>
    <w:rsid w:val="005C15CC"/>
    <w:rsid w:val="00E97E43"/>
    <w:rsid w:val="00F253C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E4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0B4FA9"/>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0B4FA9"/>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uiPriority w:val="34"/>
    <w:qFormat/>
    <w:rsid w:val="000B4FA9"/>
    <w:pPr>
      <w:ind w:left="720"/>
      <w:contextualSpacing/>
    </w:pPr>
  </w:style>
  <w:style w:type="character" w:styleId="Hyperlink">
    <w:name w:val="Hyperlink"/>
    <w:basedOn w:val="DefaultParagraphFont"/>
    <w:rsid w:val="00F253C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el.mater@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886</Words>
  <Characters>5052</Characters>
  <Application>Microsoft Office Word</Application>
  <DocSecurity>0</DocSecurity>
  <Lines>42</Lines>
  <Paragraphs>11</Paragraphs>
  <ScaleCrop>false</ScaleCrop>
  <Company/>
  <LinksUpToDate>false</LinksUpToDate>
  <CharactersWithSpaces>5927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User</cp:lastModifiedBy>
  <cp:revision>2</cp:revision>
  <dcterms:created xsi:type="dcterms:W3CDTF">2013-06-04T10:56:00Z</dcterms:created>
  <dcterms:modified xsi:type="dcterms:W3CDTF">2013-06-24T10:55:00Z</dcterms:modified>
</cp:coreProperties>
</file>