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05" w:rsidRPr="00DA2B05" w:rsidRDefault="00DA2B05" w:rsidP="00DA2B05">
      <w:pPr>
        <w:jc w:val="center"/>
        <w:rPr>
          <w:rFonts w:asciiTheme="majorBidi" w:eastAsia="Calibri" w:hAnsiTheme="majorBidi" w:cstheme="majorBidi"/>
          <w:sz w:val="48"/>
          <w:szCs w:val="48"/>
          <w:rtl/>
        </w:rPr>
      </w:pPr>
      <w:r w:rsidRPr="00DA2B05">
        <w:rPr>
          <w:rFonts w:asciiTheme="majorBidi" w:eastAsia="Calibri" w:hAnsiTheme="majorBidi" w:cstheme="majorBidi"/>
          <w:sz w:val="48"/>
          <w:szCs w:val="48"/>
          <w:rtl/>
        </w:rPr>
        <w:t xml:space="preserve">كلام "البلقيني" في المباحث التي تدور </w:t>
      </w:r>
    </w:p>
    <w:p w:rsidR="00C233A5" w:rsidRPr="00DA2B05" w:rsidRDefault="00DA2B05" w:rsidP="00DA2B05">
      <w:pPr>
        <w:jc w:val="center"/>
        <w:rPr>
          <w:rFonts w:asciiTheme="majorBidi" w:hAnsiTheme="majorBidi" w:cstheme="majorBidi"/>
          <w:sz w:val="48"/>
          <w:szCs w:val="48"/>
          <w:rtl/>
        </w:rPr>
      </w:pPr>
      <w:r w:rsidRPr="00DA2B05">
        <w:rPr>
          <w:rFonts w:asciiTheme="majorBidi" w:eastAsia="Calibri" w:hAnsiTheme="majorBidi" w:cstheme="majorBidi"/>
          <w:sz w:val="48"/>
          <w:szCs w:val="48"/>
          <w:rtl/>
        </w:rPr>
        <w:t>حولها في الغالب علوم القرآن</w:t>
      </w:r>
    </w:p>
    <w:p w:rsidR="00E20967" w:rsidRPr="007E1CFD" w:rsidRDefault="00E20967" w:rsidP="00E20967">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E20967" w:rsidRPr="00202F60" w:rsidRDefault="00E20967" w:rsidP="00202F60">
      <w:pPr>
        <w:pStyle w:val="Author"/>
        <w:bidi/>
        <w:rPr>
          <w:i/>
          <w:iCs/>
          <w:sz w:val="20"/>
          <w:szCs w:val="20"/>
          <w:lang w:eastAsia="zh-CN"/>
        </w:rPr>
      </w:pPr>
      <w:r w:rsidRPr="00202F60">
        <w:rPr>
          <w:rFonts w:hint="cs"/>
          <w:i/>
          <w:iCs/>
          <w:sz w:val="20"/>
          <w:szCs w:val="20"/>
          <w:rtl/>
          <w:lang w:eastAsia="zh-CN"/>
        </w:rPr>
        <w:t xml:space="preserve">إعداد / </w:t>
      </w:r>
      <w:r w:rsidR="00202F60" w:rsidRPr="00202F60">
        <w:rPr>
          <w:i/>
          <w:iCs/>
          <w:sz w:val="20"/>
          <w:szCs w:val="20"/>
          <w:rtl/>
          <w:lang w:eastAsia="zh-CN"/>
        </w:rPr>
        <w:t>عادل محمد فتحي</w:t>
      </w:r>
      <w:r w:rsidR="00202F60" w:rsidRPr="00202F60">
        <w:rPr>
          <w:rFonts w:hint="cs"/>
          <w:i/>
          <w:iCs/>
          <w:sz w:val="20"/>
          <w:szCs w:val="20"/>
          <w:rtl/>
          <w:lang w:eastAsia="zh-CN"/>
        </w:rPr>
        <w:t xml:space="preserve">  </w:t>
      </w:r>
    </w:p>
    <w:p w:rsidR="00E20967" w:rsidRPr="00202F60" w:rsidRDefault="00E20967" w:rsidP="00E20967">
      <w:pPr>
        <w:pStyle w:val="Affiliation"/>
        <w:bidi/>
        <w:rPr>
          <w:i/>
          <w:iCs/>
        </w:rPr>
      </w:pPr>
      <w:r>
        <w:rPr>
          <w:rFonts w:hint="cs"/>
          <w:i/>
          <w:iCs/>
          <w:rtl/>
        </w:rPr>
        <w:t>قسم الدعوة وأصول الدين</w:t>
      </w:r>
    </w:p>
    <w:p w:rsidR="00E20967" w:rsidRPr="00202F60" w:rsidRDefault="00E20967" w:rsidP="00E20967">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202F60">
        <w:rPr>
          <w:i/>
          <w:iCs/>
        </w:rPr>
        <w:t xml:space="preserve"> </w:t>
      </w:r>
    </w:p>
    <w:p w:rsidR="00E20967" w:rsidRPr="00202F60" w:rsidRDefault="00E20967" w:rsidP="00E20967">
      <w:pPr>
        <w:pStyle w:val="Affiliation"/>
        <w:bidi/>
        <w:rPr>
          <w:i/>
          <w:iCs/>
          <w:rtl/>
        </w:rPr>
      </w:pPr>
      <w:r w:rsidRPr="00202F60">
        <w:rPr>
          <w:rFonts w:hint="cs"/>
          <w:i/>
          <w:iCs/>
          <w:rtl/>
        </w:rPr>
        <w:t>شاه علم - ماليزيا</w:t>
      </w:r>
    </w:p>
    <w:p w:rsidR="00DA2B05" w:rsidRPr="00202F60" w:rsidRDefault="00202F60" w:rsidP="00202F60">
      <w:pPr>
        <w:spacing w:line="240" w:lineRule="auto"/>
        <w:jc w:val="center"/>
        <w:rPr>
          <w:rFonts w:ascii="Times New Roman" w:eastAsia="SimSun" w:hAnsi="Times New Roman" w:cs="Times New Roman"/>
          <w:i/>
          <w:iCs/>
          <w:sz w:val="20"/>
          <w:szCs w:val="20"/>
          <w:rtl/>
          <w:lang w:eastAsia="zh-CN"/>
        </w:rPr>
        <w:sectPr w:rsidR="00DA2B05" w:rsidRPr="00202F60" w:rsidSect="005C15CC">
          <w:pgSz w:w="11906" w:h="16838"/>
          <w:pgMar w:top="1440" w:right="1440" w:bottom="1440" w:left="1440" w:header="720" w:footer="720" w:gutter="0"/>
          <w:cols w:space="720"/>
          <w:bidi/>
          <w:rtlGutter/>
          <w:docGrid w:linePitch="360"/>
        </w:sectPr>
      </w:pPr>
      <w:hyperlink r:id="rId5" w:history="1">
        <w:r w:rsidRPr="00202F60">
          <w:rPr>
            <w:rFonts w:ascii="Times New Roman" w:eastAsia="SimSun" w:hAnsi="Times New Roman" w:cs="Times New Roman"/>
            <w:i/>
            <w:iCs/>
            <w:sz w:val="20"/>
            <w:szCs w:val="20"/>
            <w:lang w:eastAsia="zh-CN"/>
          </w:rPr>
          <w:t>adel.mater@mediu.ws</w:t>
        </w:r>
      </w:hyperlink>
    </w:p>
    <w:p w:rsidR="00DA2B05" w:rsidRPr="00DA2B05" w:rsidRDefault="00DA2B05" w:rsidP="00DA2B05">
      <w:pPr>
        <w:jc w:val="center"/>
        <w:rPr>
          <w:rFonts w:asciiTheme="majorBidi" w:eastAsia="Calibri" w:hAnsiTheme="majorBidi" w:cstheme="majorBidi"/>
          <w:b/>
          <w:bCs/>
          <w:sz w:val="18"/>
          <w:szCs w:val="18"/>
          <w:rtl/>
        </w:rPr>
      </w:pPr>
      <w:r w:rsidRPr="00DA2B05">
        <w:rPr>
          <w:rFonts w:asciiTheme="majorBidi" w:hAnsiTheme="majorBidi" w:cstheme="majorBidi"/>
          <w:b/>
          <w:bCs/>
          <w:sz w:val="18"/>
          <w:szCs w:val="18"/>
          <w:rtl/>
        </w:rPr>
        <w:lastRenderedPageBreak/>
        <w:t xml:space="preserve">الخلاصة – هذا البحث يبحث </w:t>
      </w:r>
      <w:r w:rsidRPr="00DA2B05">
        <w:rPr>
          <w:rFonts w:asciiTheme="majorBidi" w:eastAsia="Calibri" w:hAnsiTheme="majorBidi" w:cstheme="majorBidi"/>
          <w:b/>
          <w:bCs/>
          <w:sz w:val="18"/>
          <w:szCs w:val="18"/>
          <w:rtl/>
        </w:rPr>
        <w:t xml:space="preserve">كلام "البلقيني" في المباحث التي تدور </w:t>
      </w:r>
    </w:p>
    <w:p w:rsidR="00DA2B05" w:rsidRPr="00DA2B05" w:rsidRDefault="00DA2B05" w:rsidP="00DA2B05">
      <w:pPr>
        <w:rPr>
          <w:rFonts w:asciiTheme="majorBidi" w:hAnsiTheme="majorBidi" w:cstheme="majorBidi"/>
          <w:b/>
          <w:bCs/>
          <w:sz w:val="18"/>
          <w:szCs w:val="18"/>
          <w:rtl/>
        </w:rPr>
      </w:pPr>
      <w:r w:rsidRPr="00DA2B05">
        <w:rPr>
          <w:rFonts w:asciiTheme="majorBidi" w:eastAsia="Calibri" w:hAnsiTheme="majorBidi" w:cstheme="majorBidi"/>
          <w:b/>
          <w:bCs/>
          <w:sz w:val="18"/>
          <w:szCs w:val="18"/>
          <w:rtl/>
        </w:rPr>
        <w:t>حولها في الغالب علوم القرآن</w:t>
      </w:r>
    </w:p>
    <w:p w:rsidR="00DA2B05" w:rsidRPr="00DA2B05" w:rsidRDefault="00DA2B05" w:rsidP="00DA2B05">
      <w:pPr>
        <w:spacing w:before="60" w:line="240" w:lineRule="auto"/>
        <w:rPr>
          <w:rFonts w:asciiTheme="majorBidi" w:eastAsia="Calibri" w:hAnsiTheme="majorBidi" w:cstheme="majorBidi"/>
          <w:b/>
          <w:bCs/>
          <w:sz w:val="18"/>
          <w:szCs w:val="18"/>
          <w:rtl/>
        </w:rPr>
      </w:pPr>
      <w:r w:rsidRPr="00DA2B05">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السند</w:t>
      </w:r>
      <w:r w:rsidRPr="00DA2B0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الاحكام</w:t>
      </w:r>
      <w:r w:rsidRPr="00DA2B05">
        <w:rPr>
          <w:rFonts w:asciiTheme="majorBidi" w:eastAsia="Calibri" w:hAnsiTheme="majorBidi" w:cstheme="majorBidi"/>
          <w:b/>
          <w:bCs/>
          <w:sz w:val="18"/>
          <w:szCs w:val="18"/>
          <w:rtl/>
        </w:rPr>
        <w:t xml:space="preserve"> ، </w:t>
      </w:r>
      <w:r>
        <w:rPr>
          <w:rFonts w:asciiTheme="majorBidi" w:eastAsia="Calibri" w:hAnsiTheme="majorBidi" w:cstheme="majorBidi" w:hint="cs"/>
          <w:b/>
          <w:bCs/>
          <w:sz w:val="18"/>
          <w:szCs w:val="18"/>
          <w:rtl/>
        </w:rPr>
        <w:t>المجاز</w:t>
      </w:r>
    </w:p>
    <w:p w:rsidR="00DA2B05" w:rsidRPr="00DA2B05" w:rsidRDefault="00DA2B05" w:rsidP="00DA2B05">
      <w:pPr>
        <w:pStyle w:val="ListParagraph"/>
        <w:numPr>
          <w:ilvl w:val="0"/>
          <w:numId w:val="2"/>
        </w:numPr>
        <w:spacing w:before="60" w:line="240" w:lineRule="auto"/>
        <w:ind w:left="82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DA2B05">
        <w:rPr>
          <w:rFonts w:asciiTheme="majorBidi" w:hAnsiTheme="majorBidi" w:cstheme="majorBidi"/>
          <w:b/>
          <w:bCs/>
          <w:sz w:val="18"/>
          <w:szCs w:val="18"/>
          <w:rtl/>
        </w:rPr>
        <w:t>المقدمة</w:t>
      </w:r>
    </w:p>
    <w:p w:rsidR="00DA2B05" w:rsidRPr="00DA2B05" w:rsidRDefault="00DA2B05" w:rsidP="00DA2B05">
      <w:pPr>
        <w:rPr>
          <w:rFonts w:asciiTheme="majorBidi" w:eastAsia="Calibri" w:hAnsiTheme="majorBidi" w:cstheme="majorBidi"/>
          <w:b/>
          <w:bCs/>
          <w:sz w:val="18"/>
          <w:szCs w:val="18"/>
          <w:rtl/>
        </w:rPr>
      </w:pPr>
      <w:r w:rsidRPr="00DA2B0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DA2B05">
        <w:rPr>
          <w:rFonts w:asciiTheme="majorBidi" w:eastAsia="Calibri" w:hAnsiTheme="majorBidi" w:cstheme="majorBidi"/>
          <w:b/>
          <w:bCs/>
          <w:sz w:val="18"/>
          <w:szCs w:val="18"/>
          <w:rtl/>
        </w:rPr>
        <w:t>كلام "البلقيني" في المباحث التي تدور حولها في الغالب علوم القرآن</w:t>
      </w:r>
    </w:p>
    <w:p w:rsidR="00DA2B05" w:rsidRPr="00DA2B05" w:rsidRDefault="00DA2B05" w:rsidP="00DA2B05">
      <w:pPr>
        <w:pStyle w:val="ListParagraph"/>
        <w:numPr>
          <w:ilvl w:val="0"/>
          <w:numId w:val="3"/>
        </w:numPr>
        <w:spacing w:line="240" w:lineRule="auto"/>
        <w:ind w:left="82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DA2B05">
        <w:rPr>
          <w:rFonts w:asciiTheme="majorBidi" w:hAnsiTheme="majorBidi" w:cstheme="majorBidi"/>
          <w:b/>
          <w:bCs/>
          <w:sz w:val="18"/>
          <w:szCs w:val="18"/>
          <w:rtl/>
        </w:rPr>
        <w:t>عنوان المقال</w:t>
      </w:r>
    </w:p>
    <w:p w:rsidR="00DA2B05" w:rsidRPr="00DA2B05" w:rsidRDefault="00DA2B05" w:rsidP="00DA2B05">
      <w:pPr>
        <w:widowControl w:val="0"/>
        <w:spacing w:after="120" w:line="240" w:lineRule="auto"/>
        <w:jc w:val="lowKashida"/>
        <w:rPr>
          <w:rFonts w:asciiTheme="majorBidi" w:hAnsiTheme="majorBidi" w:cstheme="majorBidi"/>
          <w:b/>
          <w:bCs/>
          <w:sz w:val="18"/>
          <w:szCs w:val="18"/>
          <w:rtl/>
        </w:rPr>
      </w:pPr>
      <w:r w:rsidRPr="00DA2B05">
        <w:rPr>
          <w:rFonts w:asciiTheme="majorBidi" w:hAnsiTheme="majorBidi" w:cstheme="majorBidi"/>
          <w:b/>
          <w:bCs/>
          <w:sz w:val="18"/>
          <w:szCs w:val="18"/>
          <w:rtl/>
        </w:rPr>
        <w:t xml:space="preserve">كتاب (مواقع العلوم من مواقع النجوم)، ذكر في مقدمته ما وصل إلى علمه مما حواه القرآن الشريف من أنواع علمه المنيف، فذكر أمورًا ستة: </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 xml:space="preserve">الأمر الأول: مواطن النزول، وأوقاته، ووقائعه؛ وفي ذلك اثنا عشر نوعًا: المكي، المدني، السفري، الحضري، الليلي، النهاري، الصيفي، الشتائي، الفراشي، النومي، أسباب النزول، أول ما نزل، آخر ما نزل. </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الأمر الثاني: السند، وهو ستة أنواع: المتواتر، الآحاد، الشاذ، قراءات النبي</w:t>
      </w:r>
      <w:r w:rsidRPr="00DA2B05">
        <w:rPr>
          <w:rFonts w:asciiTheme="majorBidi" w:hAnsiTheme="majorBidi" w:cstheme="majorBidi"/>
          <w:b/>
          <w:bCs/>
          <w:position w:val="-4"/>
          <w:sz w:val="18"/>
          <w:szCs w:val="18"/>
        </w:rPr>
        <w:sym w:font="AGA Arabesque" w:char="F065"/>
      </w:r>
      <w:r w:rsidRPr="00DA2B05">
        <w:rPr>
          <w:rFonts w:asciiTheme="majorBidi" w:hAnsiTheme="majorBidi" w:cstheme="majorBidi"/>
          <w:b/>
          <w:bCs/>
          <w:sz w:val="18"/>
          <w:szCs w:val="18"/>
          <w:rtl/>
        </w:rPr>
        <w:t xml:space="preserve">، الرواة، الحفاظ. </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الأمر الثالث: الأداء، وهو ستة أنواع: الوقف، الابتداء، الإمالة، المد، تخفيف الهمزة، الإدغام.</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 xml:space="preserve">الأمر الرابع: الألفاظ، وهو سبعة أنواع: الغريب، المعرَّب، المجاز، المشترك، المترادف، الاستعارة، التشبيه. </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 xml:space="preserve">الأمر الخامس: المعاني المتعلقة بالأحكام، وهو أربعة عشر نوعًا: العام الباقي على عمومه، العام المخصوص، العام الذي أريد به الخصوص، ما خَص فيه الكتاب السنة، ما خصصت فيه السنة الكتاب، المجمَل، المبيّن، المؤوّل، المفهوم، المطلق، المقيد، الناسخ والمنسوخ، نوع من الناسخ والمنسوخ، وهو ما عمل به من الأحكام مدة معيّنة، والعامل به واحد من المكلفين. </w:t>
      </w:r>
    </w:p>
    <w:p w:rsidR="00DA2B05" w:rsidRPr="00DA2B05" w:rsidRDefault="00DA2B05" w:rsidP="00DA2B05">
      <w:pPr>
        <w:widowControl w:val="0"/>
        <w:spacing w:after="120" w:line="240" w:lineRule="auto"/>
        <w:ind w:left="1134" w:hanging="1134"/>
        <w:jc w:val="lowKashida"/>
        <w:rPr>
          <w:rFonts w:asciiTheme="majorBidi" w:hAnsiTheme="majorBidi" w:cstheme="majorBidi"/>
          <w:b/>
          <w:bCs/>
          <w:sz w:val="18"/>
          <w:szCs w:val="18"/>
          <w:rtl/>
        </w:rPr>
      </w:pPr>
      <w:r w:rsidRPr="00DA2B05">
        <w:rPr>
          <w:rFonts w:asciiTheme="majorBidi" w:hAnsiTheme="majorBidi" w:cstheme="majorBidi"/>
          <w:b/>
          <w:bCs/>
          <w:sz w:val="18"/>
          <w:szCs w:val="18"/>
          <w:rtl/>
        </w:rPr>
        <w:t>الأمر السادس: المعاني المتعلقة بالألفاظ، وهو خمسة أنواع: الفصل، الوصل، الإيجاز، الإطناب، القصر.</w:t>
      </w:r>
    </w:p>
    <w:p w:rsidR="00DA2B05" w:rsidRPr="00DA2B05" w:rsidRDefault="00DA2B05" w:rsidP="00DA2B05">
      <w:pPr>
        <w:widowControl w:val="0"/>
        <w:spacing w:after="120" w:line="240" w:lineRule="auto"/>
        <w:jc w:val="both"/>
        <w:rPr>
          <w:rFonts w:asciiTheme="majorBidi" w:hAnsiTheme="majorBidi" w:cstheme="majorBidi"/>
          <w:b/>
          <w:bCs/>
          <w:sz w:val="18"/>
          <w:szCs w:val="18"/>
          <w:rtl/>
        </w:rPr>
      </w:pPr>
      <w:r w:rsidRPr="00DA2B05">
        <w:rPr>
          <w:rFonts w:asciiTheme="majorBidi" w:hAnsiTheme="majorBidi" w:cstheme="majorBidi"/>
          <w:b/>
          <w:bCs/>
          <w:sz w:val="18"/>
          <w:szCs w:val="18"/>
          <w:rtl/>
        </w:rPr>
        <w:t xml:space="preserve">ثم ذكر قسمًا لا يدخل تحت الحصر، مثل: الأسماء، الكنى، الألقاب، المبهمات. </w:t>
      </w:r>
    </w:p>
    <w:p w:rsidR="00DA2B05" w:rsidRPr="00DA2B05" w:rsidRDefault="00DA2B05" w:rsidP="00DA2B05">
      <w:pPr>
        <w:pStyle w:val="ListParagraph"/>
        <w:spacing w:line="240" w:lineRule="auto"/>
        <w:ind w:left="1003"/>
        <w:rPr>
          <w:rFonts w:asciiTheme="majorBidi" w:hAnsiTheme="majorBidi" w:cstheme="majorBidi"/>
          <w:b/>
          <w:bCs/>
          <w:sz w:val="18"/>
          <w:szCs w:val="18"/>
          <w:rtl/>
        </w:rPr>
      </w:pPr>
      <w:r w:rsidRPr="00DA2B05">
        <w:rPr>
          <w:rFonts w:asciiTheme="majorBidi" w:hAnsiTheme="majorBidi" w:cstheme="majorBidi"/>
          <w:b/>
          <w:bCs/>
          <w:sz w:val="18"/>
          <w:szCs w:val="18"/>
          <w:rtl/>
        </w:rPr>
        <w:t>وهناك قسم جامع سابع، يمكن أن يزاد على كلام البلقيني، وهو ما يتعلق بشرف القرآن، وهو أنواع؛ فمن ذلك: أسماؤه، وأسماء سوَره، وجمعه، وكتابته، وترتيبه، وخواصه، وآداب حامله وتاليه، وفضائله العامة، وفضائل سوَره، وفضل حفّاظه وقارئيه.</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lastRenderedPageBreak/>
        <w:t xml:space="preserve">(الإتقان في علوم القرآن) </w:t>
      </w:r>
    </w:p>
    <w:p w:rsidR="00DA2B05" w:rsidRPr="00DA2B05" w:rsidRDefault="00DA2B05" w:rsidP="00DA2B05">
      <w:pPr>
        <w:spacing w:after="120" w:line="240" w:lineRule="auto"/>
        <w:ind w:left="363" w:hanging="79"/>
        <w:jc w:val="both"/>
        <w:rPr>
          <w:rFonts w:asciiTheme="majorBidi" w:hAnsiTheme="majorBidi" w:cstheme="majorBidi"/>
          <w:b/>
          <w:bCs/>
          <w:sz w:val="18"/>
          <w:szCs w:val="18"/>
        </w:rPr>
      </w:pPr>
      <w:r w:rsidRPr="00DA2B05">
        <w:rPr>
          <w:rFonts w:asciiTheme="majorBidi" w:hAnsiTheme="majorBidi" w:cstheme="majorBidi"/>
          <w:b/>
          <w:bCs/>
          <w:sz w:val="18"/>
          <w:szCs w:val="18"/>
          <w:rtl/>
        </w:rPr>
        <w:t>أبو بكر عبد الرحمن بن الكمال السيوطي, الهيئة المصرية العامة للكتاب، 1974م.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(إعجاز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Pr>
      </w:pPr>
      <w:r w:rsidRPr="00DA2B05">
        <w:rPr>
          <w:rFonts w:asciiTheme="majorBidi" w:hAnsiTheme="majorBidi" w:cstheme="majorBidi"/>
          <w:b/>
          <w:bCs/>
          <w:sz w:val="18"/>
          <w:szCs w:val="18"/>
          <w:rtl/>
        </w:rPr>
        <w:t>أبو بكر بن الطيب الباقلاني، تحقيق: عماد الدين حيدر، مؤسسة الكتب الثقافية، 1991م.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(البرهان في علوم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lang w:eastAsia="ar-SA"/>
        </w:rPr>
        <w:t>محمد بن بهادر بن عبد الله</w:t>
      </w:r>
      <w:r w:rsidRPr="00DA2B05">
        <w:rPr>
          <w:rFonts w:asciiTheme="majorBidi" w:hAnsiTheme="majorBidi" w:cstheme="majorBidi"/>
          <w:b/>
          <w:bCs/>
          <w:sz w:val="18"/>
          <w:szCs w:val="18"/>
          <w:rtl/>
        </w:rPr>
        <w:t xml:space="preserve"> الزركشي، دار الكتب العلمية، 2001م.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(التعريفات)</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علي محمد الجرجاني، دار الكتاب المصري، 1991م.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(التوقيف على مهمات التعاريف)</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محمد عبد الرؤوف المناوي، عالم الكتب، 1990م.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(صحيح البخاري مع شرحه فتح الباري)</w:t>
      </w:r>
    </w:p>
    <w:p w:rsidR="00DA2B05" w:rsidRPr="00DA2B05" w:rsidRDefault="00DA2B05" w:rsidP="00DA2B05">
      <w:pPr>
        <w:spacing w:after="120" w:line="240" w:lineRule="auto"/>
        <w:ind w:left="363" w:hanging="79"/>
        <w:jc w:val="both"/>
        <w:rPr>
          <w:rFonts w:asciiTheme="majorBidi" w:hAnsiTheme="majorBidi" w:cstheme="majorBidi"/>
          <w:b/>
          <w:bCs/>
          <w:sz w:val="18"/>
          <w:szCs w:val="18"/>
        </w:rPr>
      </w:pPr>
      <w:r w:rsidRPr="00DA2B05">
        <w:rPr>
          <w:rFonts w:asciiTheme="majorBidi" w:hAnsiTheme="majorBidi" w:cstheme="majorBidi"/>
          <w:b/>
          <w:bCs/>
          <w:sz w:val="18"/>
          <w:szCs w:val="18"/>
          <w:rtl/>
        </w:rPr>
        <w:t>ابن حجر العسقلاني، دار الكتب العلمية، 1997م.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(العجاب في بيان الأسباب)</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 xml:space="preserve">ابن حجر العسقلاني، دار ابن الجوزي، 1997م. </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(فضائل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أحمد بن شعيب النسائي، مؤسسة الكتب الثقافية، 1985م.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(فيض القدير شرح الجامع الصغير)</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محمد بن عبد الرؤوف المناوي، دار المعرفة، 1980م.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(السبعة في القراءات)</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أحمد بن موسى بن مجاهد، دار المعارف، 1988م.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(لسان العرب)</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محمد بن مكرم بن منظور، طبعة دار إحياء التراث العربي، 1999م.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(مباحث في علوم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صبحي الصالح، دار العلم للملايين، 2002م.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(مباحث في علوم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مناع خليل القطان، مؤسسة الرسالة للطباعة والنشر والتوزيع، 2000م.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(المستدرك على الصحيحين)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محمد بن عبد الله الحاكم النيسابوري، دار الكتب العلمية، 1990م.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(مناهل العرفان)</w:t>
      </w:r>
    </w:p>
    <w:p w:rsidR="00DA2B05" w:rsidRPr="00DA2B05" w:rsidRDefault="00DA2B05" w:rsidP="00DA2B05">
      <w:pPr>
        <w:spacing w:after="120" w:line="240" w:lineRule="auto"/>
        <w:ind w:left="363" w:hanging="79"/>
        <w:jc w:val="both"/>
        <w:rPr>
          <w:rFonts w:asciiTheme="majorBidi" w:hAnsiTheme="majorBidi" w:cstheme="majorBidi"/>
          <w:b/>
          <w:bCs/>
          <w:sz w:val="18"/>
          <w:szCs w:val="18"/>
        </w:rPr>
      </w:pPr>
      <w:r w:rsidRPr="00DA2B05">
        <w:rPr>
          <w:rFonts w:asciiTheme="majorBidi" w:hAnsiTheme="majorBidi" w:cstheme="majorBidi"/>
          <w:b/>
          <w:bCs/>
          <w:sz w:val="18"/>
          <w:szCs w:val="18"/>
          <w:rtl/>
        </w:rPr>
        <w:lastRenderedPageBreak/>
        <w:t>محمد بن عبد العظيم الزرقاني، دار الكتب العلمية، 2003م.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(التبيان في تفسير غريب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شهاب الدين أحمد بن محمد الهائم المصري، المكتبة المحمودية، 1960م.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(دلائل الإعجاز)</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عبد القاهر الجرجاني، دار الكتب العلمية، 1988م.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(فهم القرآن)</w:t>
      </w:r>
    </w:p>
    <w:p w:rsidR="00DA2B05" w:rsidRPr="00DA2B05" w:rsidRDefault="00DA2B05" w:rsidP="00DA2B05">
      <w:pPr>
        <w:spacing w:after="120" w:line="240" w:lineRule="auto"/>
        <w:ind w:left="363" w:hanging="79"/>
        <w:jc w:val="both"/>
        <w:rPr>
          <w:rFonts w:asciiTheme="majorBidi" w:hAnsiTheme="majorBidi" w:cstheme="majorBidi"/>
          <w:b/>
          <w:bCs/>
          <w:sz w:val="18"/>
          <w:szCs w:val="18"/>
          <w:rtl/>
        </w:rPr>
      </w:pPr>
      <w:r w:rsidRPr="00DA2B05">
        <w:rPr>
          <w:rFonts w:asciiTheme="majorBidi" w:hAnsiTheme="majorBidi" w:cstheme="majorBidi"/>
          <w:b/>
          <w:bCs/>
          <w:sz w:val="18"/>
          <w:szCs w:val="18"/>
          <w:rtl/>
        </w:rPr>
        <w:t>الحارث بن أسد المحاسبي، دار الكندي للطباعة والنشر، 1982م.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DA2B05">
        <w:rPr>
          <w:rFonts w:asciiTheme="majorBidi" w:hAnsiTheme="majorBidi" w:cstheme="majorBidi"/>
          <w:b/>
          <w:bCs/>
          <w:sz w:val="18"/>
          <w:szCs w:val="18"/>
          <w:rtl/>
        </w:rPr>
        <w:t>(نفائس البيان شرح الفرائد الحسان في عد آي القرآن)</w:t>
      </w:r>
    </w:p>
    <w:p w:rsidR="00DA2B05" w:rsidRPr="00DA2B05" w:rsidRDefault="00DA2B05" w:rsidP="00DA2B05">
      <w:pPr>
        <w:spacing w:after="120" w:line="240" w:lineRule="auto"/>
        <w:ind w:left="363" w:hanging="79"/>
        <w:jc w:val="lowKashida"/>
        <w:rPr>
          <w:rFonts w:asciiTheme="majorBidi" w:hAnsiTheme="majorBidi" w:cstheme="majorBidi"/>
          <w:b/>
          <w:bCs/>
          <w:sz w:val="18"/>
          <w:szCs w:val="18"/>
        </w:rPr>
      </w:pPr>
      <w:r w:rsidRPr="00DA2B05">
        <w:rPr>
          <w:rFonts w:asciiTheme="majorBidi" w:hAnsiTheme="majorBidi" w:cstheme="majorBidi"/>
          <w:b/>
          <w:bCs/>
          <w:sz w:val="18"/>
          <w:szCs w:val="18"/>
          <w:rtl/>
        </w:rPr>
        <w:t>الشيخ عبد الفتاح القاضي، مطبعة عيسى البابي الحلبي، ١٣٥٥هـ.</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(الأصلان في علوم القرآن)</w:t>
      </w:r>
    </w:p>
    <w:p w:rsidR="00DA2B05" w:rsidRPr="00DA2B05" w:rsidRDefault="00DA2B05" w:rsidP="00DA2B05">
      <w:pPr>
        <w:spacing w:after="120" w:line="240" w:lineRule="auto"/>
        <w:ind w:left="363" w:hanging="79"/>
        <w:jc w:val="lowKashida"/>
        <w:rPr>
          <w:rFonts w:asciiTheme="majorBidi" w:hAnsiTheme="majorBidi" w:cstheme="majorBidi"/>
          <w:b/>
          <w:bCs/>
          <w:sz w:val="18"/>
          <w:szCs w:val="18"/>
        </w:rPr>
      </w:pPr>
      <w:r w:rsidRPr="00DA2B05">
        <w:rPr>
          <w:rFonts w:asciiTheme="majorBidi" w:hAnsiTheme="majorBidi" w:cstheme="majorBidi"/>
          <w:b/>
          <w:bCs/>
          <w:sz w:val="18"/>
          <w:szCs w:val="18"/>
          <w:rtl/>
        </w:rPr>
        <w:lastRenderedPageBreak/>
        <w:t>محمد عبد المنعم القيعي، طبعة المكتبات الأزهرية، ١٩٨٠م.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DA2B05">
        <w:rPr>
          <w:rFonts w:asciiTheme="majorBidi" w:hAnsiTheme="majorBidi" w:cstheme="majorBidi"/>
          <w:b/>
          <w:bCs/>
          <w:sz w:val="18"/>
          <w:szCs w:val="18"/>
          <w:rtl/>
        </w:rPr>
        <w:t>(مختصر في قواعد التفسير)</w:t>
      </w:r>
    </w:p>
    <w:p w:rsidR="00DA2B05" w:rsidRPr="00DA2B05" w:rsidRDefault="00DA2B05" w:rsidP="00DA2B05">
      <w:pPr>
        <w:spacing w:after="120" w:line="240" w:lineRule="auto"/>
        <w:ind w:left="363" w:hanging="79"/>
        <w:jc w:val="lowKashida"/>
        <w:rPr>
          <w:rFonts w:asciiTheme="majorBidi" w:hAnsiTheme="majorBidi" w:cstheme="majorBidi"/>
          <w:b/>
          <w:bCs/>
          <w:sz w:val="18"/>
          <w:szCs w:val="18"/>
        </w:rPr>
      </w:pPr>
      <w:r w:rsidRPr="00DA2B05">
        <w:rPr>
          <w:rFonts w:asciiTheme="majorBidi" w:hAnsiTheme="majorBidi" w:cstheme="majorBidi"/>
          <w:b/>
          <w:bCs/>
          <w:sz w:val="18"/>
          <w:szCs w:val="18"/>
          <w:rtl/>
        </w:rPr>
        <w:t>خالد السبت، مطبعة ابن الجوزي، ١٤٢٣هـ.</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DA2B05">
        <w:rPr>
          <w:rFonts w:asciiTheme="majorBidi" w:hAnsiTheme="majorBidi" w:cstheme="majorBidi"/>
          <w:b/>
          <w:bCs/>
          <w:sz w:val="18"/>
          <w:szCs w:val="18"/>
          <w:rtl/>
        </w:rPr>
        <w:t>(الصحيح المسند من أسباب النزول)</w:t>
      </w:r>
    </w:p>
    <w:p w:rsidR="00DA2B05" w:rsidRPr="00DA2B05" w:rsidRDefault="00DA2B05" w:rsidP="00DA2B05">
      <w:pPr>
        <w:spacing w:after="120" w:line="240" w:lineRule="auto"/>
        <w:ind w:left="363" w:hanging="79"/>
        <w:jc w:val="lowKashida"/>
        <w:rPr>
          <w:rFonts w:asciiTheme="majorBidi" w:hAnsiTheme="majorBidi" w:cstheme="majorBidi"/>
          <w:b/>
          <w:bCs/>
          <w:sz w:val="18"/>
          <w:szCs w:val="18"/>
          <w:rtl/>
        </w:rPr>
      </w:pPr>
      <w:r w:rsidRPr="00DA2B05">
        <w:rPr>
          <w:rFonts w:asciiTheme="majorBidi" w:hAnsiTheme="majorBidi" w:cstheme="majorBidi"/>
          <w:b/>
          <w:bCs/>
          <w:sz w:val="18"/>
          <w:szCs w:val="18"/>
          <w:rtl/>
        </w:rPr>
        <w:t>مقبل بن هادي الوادعي، الرياض،  مكتبة المعارف، 1400هـ.</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(موسوعة فضائل سور وآيات القرآن)</w:t>
      </w:r>
    </w:p>
    <w:p w:rsidR="00DA2B05" w:rsidRPr="00DA2B05" w:rsidRDefault="00DA2B05" w:rsidP="00DA2B05">
      <w:pPr>
        <w:spacing w:after="120" w:line="240" w:lineRule="auto"/>
        <w:ind w:left="363" w:hanging="79"/>
        <w:jc w:val="lowKashida"/>
        <w:rPr>
          <w:rFonts w:asciiTheme="majorBidi" w:hAnsiTheme="majorBidi" w:cstheme="majorBidi"/>
          <w:b/>
          <w:bCs/>
          <w:sz w:val="18"/>
          <w:szCs w:val="18"/>
          <w:rtl/>
        </w:rPr>
      </w:pPr>
      <w:r w:rsidRPr="00DA2B05">
        <w:rPr>
          <w:rFonts w:asciiTheme="majorBidi" w:hAnsiTheme="majorBidi" w:cstheme="majorBidi"/>
          <w:b/>
          <w:bCs/>
          <w:sz w:val="18"/>
          <w:szCs w:val="18"/>
          <w:rtl/>
        </w:rPr>
        <w:t>محمد بن رزق الطرهوني، مكتبة العلم، 1994م.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(سنن القرّاء ومناهج المجوّدين)</w:t>
      </w:r>
    </w:p>
    <w:p w:rsidR="00DA2B05" w:rsidRPr="00DA2B05" w:rsidRDefault="00DA2B05" w:rsidP="00DA2B05">
      <w:pPr>
        <w:spacing w:after="120" w:line="240" w:lineRule="auto"/>
        <w:ind w:left="363" w:hanging="79"/>
        <w:jc w:val="lowKashida"/>
        <w:rPr>
          <w:rFonts w:asciiTheme="majorBidi" w:hAnsiTheme="majorBidi" w:cstheme="majorBidi"/>
          <w:b/>
          <w:bCs/>
          <w:sz w:val="18"/>
          <w:szCs w:val="18"/>
        </w:rPr>
      </w:pPr>
      <w:r w:rsidRPr="00DA2B05">
        <w:rPr>
          <w:rFonts w:asciiTheme="majorBidi" w:hAnsiTheme="majorBidi" w:cstheme="majorBidi"/>
          <w:b/>
          <w:bCs/>
          <w:sz w:val="18"/>
          <w:szCs w:val="18"/>
          <w:rtl/>
        </w:rPr>
        <w:t>عبد العزيز القارئ، مكتبة الدار للنشر والتوزيع، 2000م.</w:t>
      </w:r>
    </w:p>
    <w:p w:rsidR="00DA2B05" w:rsidRPr="00DA2B05" w:rsidRDefault="00DA2B05" w:rsidP="00DA2B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DA2B05">
        <w:rPr>
          <w:rFonts w:asciiTheme="majorBidi" w:hAnsiTheme="majorBidi" w:cstheme="majorBidi"/>
          <w:b/>
          <w:bCs/>
          <w:sz w:val="18"/>
          <w:szCs w:val="18"/>
          <w:rtl/>
        </w:rPr>
        <w:t>(النشر في القراءات العشر)</w:t>
      </w:r>
    </w:p>
    <w:p w:rsidR="00DA2B05" w:rsidRPr="00DA2B05" w:rsidRDefault="00DA2B05" w:rsidP="00DA2B05">
      <w:pPr>
        <w:spacing w:line="240" w:lineRule="auto"/>
        <w:jc w:val="both"/>
        <w:rPr>
          <w:rFonts w:asciiTheme="majorBidi" w:hAnsiTheme="majorBidi" w:cstheme="majorBidi"/>
          <w:b/>
          <w:bCs/>
          <w:sz w:val="18"/>
          <w:szCs w:val="18"/>
          <w:rtl/>
        </w:rPr>
      </w:pPr>
      <w:r w:rsidRPr="00DA2B05">
        <w:rPr>
          <w:rFonts w:asciiTheme="majorBidi" w:hAnsiTheme="majorBidi" w:cstheme="majorBidi"/>
          <w:b/>
          <w:bCs/>
          <w:sz w:val="18"/>
          <w:szCs w:val="18"/>
          <w:rtl/>
        </w:rPr>
        <w:t>محمد بن الجزري، المكتبة التجارية الكبرى، 1970م.</w:t>
      </w:r>
    </w:p>
    <w:p w:rsidR="00DA2B05" w:rsidRDefault="00DA2B05" w:rsidP="00DA2B05">
      <w:pPr>
        <w:rPr>
          <w:rFonts w:asciiTheme="majorBidi" w:hAnsiTheme="majorBidi" w:cstheme="majorBidi"/>
          <w:sz w:val="18"/>
          <w:szCs w:val="18"/>
          <w:rtl/>
          <w:lang w:bidi="ar-EG"/>
        </w:rPr>
        <w:sectPr w:rsidR="00DA2B05" w:rsidSect="00DA2B05">
          <w:type w:val="continuous"/>
          <w:pgSz w:w="11906" w:h="16838"/>
          <w:pgMar w:top="1440" w:right="1440" w:bottom="1440" w:left="1440" w:header="720" w:footer="720" w:gutter="0"/>
          <w:cols w:num="2" w:space="720"/>
          <w:bidi/>
          <w:rtlGutter/>
          <w:docGrid w:linePitch="360"/>
        </w:sectPr>
      </w:pPr>
    </w:p>
    <w:p w:rsidR="00DA2B05" w:rsidRPr="00DA2B05" w:rsidRDefault="00DA2B05" w:rsidP="00DA2B05">
      <w:pPr>
        <w:rPr>
          <w:rFonts w:asciiTheme="majorBidi" w:hAnsiTheme="majorBidi" w:cstheme="majorBidi"/>
          <w:sz w:val="18"/>
          <w:szCs w:val="18"/>
          <w:lang w:bidi="ar-EG"/>
        </w:rPr>
      </w:pPr>
    </w:p>
    <w:sectPr w:rsidR="00DA2B05" w:rsidRPr="00DA2B05" w:rsidSect="00DA2B0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7907"/>
    <w:multiLevelType w:val="hybridMultilevel"/>
    <w:tmpl w:val="C1987392"/>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394F0F"/>
    <w:multiLevelType w:val="hybridMultilevel"/>
    <w:tmpl w:val="812844E2"/>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A2B05"/>
    <w:rsid w:val="00202F60"/>
    <w:rsid w:val="005C15CC"/>
    <w:rsid w:val="00655840"/>
    <w:rsid w:val="008A42BA"/>
    <w:rsid w:val="00B3032E"/>
    <w:rsid w:val="00C233A5"/>
    <w:rsid w:val="00DA2B05"/>
    <w:rsid w:val="00E20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DA2B0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A2B0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DA2B05"/>
    <w:pPr>
      <w:ind w:left="720"/>
      <w:contextualSpacing/>
    </w:pPr>
  </w:style>
  <w:style w:type="paragraph" w:customStyle="1" w:styleId="a">
    <w:name w:val="سرد الفقرات"/>
    <w:basedOn w:val="Normal"/>
    <w:qFormat/>
    <w:rsid w:val="00DA2B05"/>
    <w:pPr>
      <w:ind w:left="720"/>
      <w:contextualSpacing/>
    </w:pPr>
    <w:rPr>
      <w:rFonts w:ascii="Calibri" w:eastAsia="Times New Roman" w:hAnsi="Calibri" w:cs="Arial"/>
    </w:rPr>
  </w:style>
  <w:style w:type="character" w:styleId="Hyperlink">
    <w:name w:val="Hyperlink"/>
    <w:basedOn w:val="DefaultParagraphFont"/>
    <w:rsid w:val="00202F6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4</cp:revision>
  <dcterms:created xsi:type="dcterms:W3CDTF">2013-06-01T14:51:00Z</dcterms:created>
  <dcterms:modified xsi:type="dcterms:W3CDTF">2013-06-24T10:58:00Z</dcterms:modified>
</cp:coreProperties>
</file>