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7A" w:rsidRDefault="00885B7A" w:rsidP="00885B7A">
      <w:pPr>
        <w:jc w:val="center"/>
        <w:rPr>
          <w:rFonts w:asciiTheme="majorBidi" w:eastAsia="Calibri" w:hAnsiTheme="majorBidi" w:cstheme="majorBidi"/>
          <w:sz w:val="48"/>
          <w:szCs w:val="48"/>
          <w:rtl/>
        </w:rPr>
      </w:pPr>
      <w:r w:rsidRPr="00885B7A">
        <w:rPr>
          <w:rFonts w:asciiTheme="majorBidi" w:eastAsia="Calibri" w:hAnsiTheme="majorBidi" w:cstheme="majorBidi"/>
          <w:sz w:val="48"/>
          <w:szCs w:val="48"/>
          <w:rtl/>
        </w:rPr>
        <w:t xml:space="preserve">كلام "الزركشي" و"الطبري" في المباحث </w:t>
      </w:r>
    </w:p>
    <w:p w:rsidR="00894D14" w:rsidRDefault="00885B7A" w:rsidP="00885B7A">
      <w:pPr>
        <w:jc w:val="center"/>
        <w:rPr>
          <w:rFonts w:asciiTheme="majorBidi" w:hAnsiTheme="majorBidi" w:cstheme="majorBidi"/>
          <w:sz w:val="48"/>
          <w:szCs w:val="48"/>
          <w:rtl/>
        </w:rPr>
      </w:pPr>
      <w:r w:rsidRPr="00885B7A">
        <w:rPr>
          <w:rFonts w:asciiTheme="majorBidi" w:eastAsia="Calibri" w:hAnsiTheme="majorBidi" w:cstheme="majorBidi"/>
          <w:sz w:val="48"/>
          <w:szCs w:val="48"/>
          <w:rtl/>
        </w:rPr>
        <w:t>التي تدور حولها في الغالب علوم القرآن</w:t>
      </w:r>
    </w:p>
    <w:p w:rsidR="00885B7A" w:rsidRPr="00DB5FBD" w:rsidRDefault="00885B7A" w:rsidP="00885B7A">
      <w:pPr>
        <w:spacing w:line="500" w:lineRule="exact"/>
        <w:jc w:val="center"/>
        <w:rPr>
          <w:rFonts w:ascii="Times New Roman" w:eastAsia="SimSun" w:hAnsi="Times New Roman" w:cs="Times New Roman"/>
          <w:i/>
          <w:iCs/>
          <w:sz w:val="20"/>
          <w:szCs w:val="20"/>
          <w:rtl/>
          <w:lang w:eastAsia="zh-CN"/>
        </w:rPr>
      </w:pPr>
      <w:r w:rsidRPr="00DB5FBD">
        <w:rPr>
          <w:rFonts w:ascii="Times New Roman" w:eastAsia="SimSun" w:hAnsi="Times New Roman" w:cs="Times New Roman" w:hint="cs"/>
          <w:i/>
          <w:iCs/>
          <w:sz w:val="20"/>
          <w:szCs w:val="20"/>
          <w:rtl/>
          <w:lang w:eastAsia="zh-CN"/>
        </w:rPr>
        <w:t>مبحث فى مدخل إلى علوم القرآن</w:t>
      </w:r>
    </w:p>
    <w:p w:rsidR="00885B7A" w:rsidRPr="00DB5FBD" w:rsidRDefault="00885B7A" w:rsidP="00DB5FBD">
      <w:pPr>
        <w:pStyle w:val="Author"/>
        <w:bidi/>
        <w:rPr>
          <w:i/>
          <w:iCs/>
          <w:sz w:val="20"/>
          <w:szCs w:val="20"/>
          <w:lang w:eastAsia="zh-CN"/>
        </w:rPr>
      </w:pPr>
      <w:r w:rsidRPr="00DB5FBD">
        <w:rPr>
          <w:rFonts w:hint="cs"/>
          <w:i/>
          <w:iCs/>
          <w:sz w:val="20"/>
          <w:szCs w:val="20"/>
          <w:rtl/>
          <w:lang w:eastAsia="zh-CN"/>
        </w:rPr>
        <w:t xml:space="preserve">إعداد / </w:t>
      </w:r>
      <w:r w:rsidR="00DB5FBD" w:rsidRPr="00DB5FBD">
        <w:rPr>
          <w:i/>
          <w:iCs/>
          <w:sz w:val="20"/>
          <w:szCs w:val="20"/>
          <w:rtl/>
          <w:lang w:eastAsia="zh-CN"/>
        </w:rPr>
        <w:t>عادل محمد فتحي</w:t>
      </w:r>
      <w:r w:rsidR="00DB5FBD" w:rsidRPr="00DB5FBD">
        <w:rPr>
          <w:rFonts w:hint="cs"/>
          <w:i/>
          <w:iCs/>
          <w:sz w:val="20"/>
          <w:szCs w:val="20"/>
          <w:rtl/>
          <w:lang w:eastAsia="zh-CN"/>
        </w:rPr>
        <w:t xml:space="preserve">  </w:t>
      </w:r>
    </w:p>
    <w:p w:rsidR="00885B7A" w:rsidRPr="00DB5FBD" w:rsidRDefault="00885B7A" w:rsidP="00885B7A">
      <w:pPr>
        <w:pStyle w:val="Affiliation"/>
        <w:bidi/>
        <w:rPr>
          <w:i/>
          <w:iCs/>
        </w:rPr>
      </w:pPr>
      <w:r>
        <w:rPr>
          <w:rFonts w:hint="cs"/>
          <w:i/>
          <w:iCs/>
          <w:rtl/>
        </w:rPr>
        <w:t>قسم الدعوة وأصول الدين</w:t>
      </w:r>
    </w:p>
    <w:p w:rsidR="00885B7A" w:rsidRPr="00DB5FBD" w:rsidRDefault="00885B7A" w:rsidP="00885B7A">
      <w:pPr>
        <w:pStyle w:val="Affiliation"/>
        <w:bidi/>
        <w:rPr>
          <w:i/>
          <w:iCs/>
        </w:rPr>
      </w:pPr>
      <w:r>
        <w:rPr>
          <w:rFonts w:hint="cs"/>
          <w:i/>
          <w:iCs/>
          <w:rtl/>
        </w:rPr>
        <w:t xml:space="preserve">كلية العلوم الإسلامية </w:t>
      </w:r>
      <w:r>
        <w:rPr>
          <w:i/>
          <w:iCs/>
          <w:rtl/>
        </w:rPr>
        <w:t>–</w:t>
      </w:r>
      <w:r>
        <w:rPr>
          <w:rFonts w:hint="cs"/>
          <w:i/>
          <w:iCs/>
          <w:rtl/>
        </w:rPr>
        <w:t xml:space="preserve"> جامعة المدينة العالمية</w:t>
      </w:r>
      <w:r w:rsidRPr="00DB5FBD">
        <w:rPr>
          <w:i/>
          <w:iCs/>
        </w:rPr>
        <w:t xml:space="preserve"> </w:t>
      </w:r>
    </w:p>
    <w:p w:rsidR="00885B7A" w:rsidRPr="00DB5FBD" w:rsidRDefault="00885B7A" w:rsidP="00885B7A">
      <w:pPr>
        <w:pStyle w:val="Affiliation"/>
        <w:bidi/>
        <w:rPr>
          <w:i/>
          <w:iCs/>
          <w:rtl/>
        </w:rPr>
      </w:pPr>
      <w:r w:rsidRPr="00DB5FBD">
        <w:rPr>
          <w:rFonts w:hint="cs"/>
          <w:i/>
          <w:iCs/>
          <w:rtl/>
        </w:rPr>
        <w:t>شاه علم - ماليزيا</w:t>
      </w:r>
    </w:p>
    <w:p w:rsidR="00E71196" w:rsidRPr="00DB5FBD" w:rsidRDefault="00DB5FBD" w:rsidP="00DB5FBD">
      <w:pPr>
        <w:spacing w:line="240" w:lineRule="auto"/>
        <w:jc w:val="center"/>
        <w:rPr>
          <w:rFonts w:ascii="Times New Roman" w:eastAsia="SimSun" w:hAnsi="Times New Roman" w:cs="Times New Roman"/>
          <w:i/>
          <w:iCs/>
          <w:sz w:val="20"/>
          <w:szCs w:val="20"/>
          <w:rtl/>
          <w:lang w:eastAsia="zh-CN"/>
        </w:rPr>
        <w:sectPr w:rsidR="00E71196" w:rsidRPr="00DB5FBD" w:rsidSect="005C15CC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hyperlink r:id="rId5" w:history="1">
        <w:r w:rsidRPr="00DB5FBD">
          <w:rPr>
            <w:rFonts w:ascii="Times New Roman" w:eastAsia="SimSun" w:hAnsi="Times New Roman" w:cs="Times New Roman"/>
            <w:i/>
            <w:iCs/>
            <w:sz w:val="20"/>
            <w:szCs w:val="20"/>
            <w:lang w:eastAsia="zh-CN"/>
          </w:rPr>
          <w:t>adel.mater@mediu.ws</w:t>
        </w:r>
      </w:hyperlink>
    </w:p>
    <w:p w:rsidR="00885B7A" w:rsidRPr="00E71196" w:rsidRDefault="00885B7A" w:rsidP="00E71196">
      <w:pPr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الخلاصة – هذا البحث يبحث فى </w:t>
      </w:r>
      <w:r w:rsidR="00E71196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 xml:space="preserve"> كلام"الزركشى"و"الطبرى"فى المباحث التى تدور حول علوم القرآن</w:t>
      </w:r>
    </w:p>
    <w:p w:rsidR="00885B7A" w:rsidRPr="00E71196" w:rsidRDefault="00885B7A" w:rsidP="00E71196">
      <w:pPr>
        <w:spacing w:before="60" w:line="240" w:lineRule="auto"/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  <w:r w:rsidRPr="00E71196">
        <w:rPr>
          <w:rFonts w:asciiTheme="majorBidi" w:eastAsia="Calibri" w:hAnsiTheme="majorBidi" w:cstheme="majorBidi"/>
          <w:b/>
          <w:bCs/>
          <w:sz w:val="18"/>
          <w:szCs w:val="18"/>
          <w:rtl/>
        </w:rPr>
        <w:t xml:space="preserve">الكلمات المفتاحية – </w:t>
      </w:r>
      <w:r w:rsidR="00E71196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كتابه</w:t>
      </w:r>
      <w:r w:rsidRPr="00E71196">
        <w:rPr>
          <w:rFonts w:asciiTheme="majorBidi" w:eastAsia="Calibri" w:hAnsiTheme="majorBidi" w:cstheme="majorBidi"/>
          <w:b/>
          <w:bCs/>
          <w:sz w:val="18"/>
          <w:szCs w:val="18"/>
          <w:rtl/>
        </w:rPr>
        <w:t xml:space="preserve"> ، </w:t>
      </w:r>
      <w:r w:rsidR="00E71196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توحيد</w:t>
      </w:r>
      <w:r w:rsidRPr="00E71196">
        <w:rPr>
          <w:rFonts w:asciiTheme="majorBidi" w:eastAsia="Calibri" w:hAnsiTheme="majorBidi" w:cstheme="majorBidi"/>
          <w:b/>
          <w:bCs/>
          <w:sz w:val="18"/>
          <w:szCs w:val="18"/>
          <w:rtl/>
        </w:rPr>
        <w:t xml:space="preserve">، </w:t>
      </w:r>
      <w:r w:rsidR="00E71196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احكام</w:t>
      </w:r>
    </w:p>
    <w:p w:rsidR="00885B7A" w:rsidRPr="00E71196" w:rsidRDefault="00E71196" w:rsidP="00E71196">
      <w:pPr>
        <w:pStyle w:val="ListParagraph"/>
        <w:numPr>
          <w:ilvl w:val="0"/>
          <w:numId w:val="2"/>
        </w:numPr>
        <w:spacing w:before="60" w:line="240" w:lineRule="auto"/>
        <w:ind w:left="553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>
        <w:rPr>
          <w:rFonts w:asciiTheme="majorBidi" w:hAnsiTheme="majorBidi" w:cstheme="majorBidi" w:hint="cs"/>
          <w:b/>
          <w:bCs/>
          <w:sz w:val="18"/>
          <w:szCs w:val="18"/>
          <w:rtl/>
        </w:rPr>
        <w:t>.</w:t>
      </w:r>
      <w:r w:rsidR="00885B7A" w:rsidRPr="00E71196">
        <w:rPr>
          <w:rFonts w:asciiTheme="majorBidi" w:hAnsiTheme="majorBidi" w:cstheme="majorBidi"/>
          <w:b/>
          <w:bCs/>
          <w:sz w:val="18"/>
          <w:szCs w:val="18"/>
          <w:rtl/>
        </w:rPr>
        <w:t>المقدمة</w:t>
      </w:r>
    </w:p>
    <w:p w:rsidR="00885B7A" w:rsidRPr="00E71196" w:rsidRDefault="00885B7A" w:rsidP="00E71196">
      <w:pPr>
        <w:spacing w:before="60"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الحمد لله رب العالمين، والصلاة والسلام على أشرف المرسلين سيدنا محمد، وعلى آله وصحبه والتابعين ، سوف نقوم في هذا البحث بمعرفة </w:t>
      </w:r>
      <w:r w:rsidR="00E71196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كلام"الزركشى"و"الطبرى"فى المباحث التى تدور حول علوم القرآن</w:t>
      </w:r>
    </w:p>
    <w:p w:rsidR="00885B7A" w:rsidRPr="00E71196" w:rsidRDefault="00E71196" w:rsidP="00E71196">
      <w:pPr>
        <w:pStyle w:val="ListParagraph"/>
        <w:numPr>
          <w:ilvl w:val="0"/>
          <w:numId w:val="3"/>
        </w:numPr>
        <w:spacing w:line="240" w:lineRule="auto"/>
        <w:ind w:left="823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>
        <w:rPr>
          <w:rFonts w:asciiTheme="majorBidi" w:hAnsiTheme="majorBidi" w:cstheme="majorBidi" w:hint="cs"/>
          <w:b/>
          <w:bCs/>
          <w:sz w:val="18"/>
          <w:szCs w:val="18"/>
          <w:rtl/>
        </w:rPr>
        <w:t>.</w:t>
      </w:r>
      <w:r w:rsidR="00885B7A" w:rsidRPr="00E71196">
        <w:rPr>
          <w:rFonts w:asciiTheme="majorBidi" w:hAnsiTheme="majorBidi" w:cstheme="majorBidi"/>
          <w:b/>
          <w:bCs/>
          <w:sz w:val="18"/>
          <w:szCs w:val="18"/>
          <w:rtl/>
        </w:rPr>
        <w:t>عنوان المقال</w:t>
      </w:r>
    </w:p>
    <w:p w:rsidR="00E71196" w:rsidRPr="00E71196" w:rsidRDefault="00E71196" w:rsidP="00E71196">
      <w:pPr>
        <w:widowControl w:val="0"/>
        <w:spacing w:after="120" w:line="240" w:lineRule="auto"/>
        <w:jc w:val="both"/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 xml:space="preserve">صنف الزركشي كتابه: (البرهان في علوم القرآن)، فنقل عن القاضي أبي بكر بن العربي في كتابه: (قانون التأويل): أن علوم القرآن خمسون علمًا، وأربعمائة وسبعة آلاف علْم وسبعون ألف علْم، على عدد كلِم القرآن مضروبة في أربعة، لقول بعض السلف: لكل كلمة ظاهر وباطن، وحدّ ومطلع؛ وهذا مطلق دون اعتبار تراكيبه وما بينها من روابط؛ وهذا ما لا يحصَى، ولا يعلمه إلا الله </w:t>
      </w:r>
      <w:r w:rsidRPr="00E71196">
        <w:rPr>
          <w:rFonts w:asciiTheme="majorBidi" w:hAnsiTheme="majorBidi" w:cstheme="majorBidi"/>
          <w:b/>
          <w:bCs/>
          <w:position w:val="-2"/>
          <w:sz w:val="18"/>
          <w:szCs w:val="18"/>
        </w:rPr>
        <w:sym w:font="AGA Arabesque" w:char="F055"/>
      </w:r>
      <w:r w:rsidRPr="00E71196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>.</w:t>
      </w:r>
    </w:p>
    <w:p w:rsidR="00E71196" w:rsidRPr="00E71196" w:rsidRDefault="00E71196" w:rsidP="00E71196">
      <w:pPr>
        <w:widowControl w:val="0"/>
        <w:spacing w:after="120" w:line="240" w:lineRule="auto"/>
        <w:jc w:val="both"/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قال: وأمّ علوم القرآن ثلاثة أقسام: توحيد، وتذكير، وأحكام:</w:t>
      </w:r>
    </w:p>
    <w:p w:rsidR="00E71196" w:rsidRPr="00E71196" w:rsidRDefault="00E71196" w:rsidP="00E71196">
      <w:pPr>
        <w:widowControl w:val="0"/>
        <w:spacing w:after="12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فالتوحيد: تدخل فيه معرفة المخلوقات، ومعرفة الخالق بأسمائه وصفاته وأفعاله.</w:t>
      </w:r>
    </w:p>
    <w:p w:rsidR="00E71196" w:rsidRPr="00E71196" w:rsidRDefault="00E71196" w:rsidP="00E71196">
      <w:pPr>
        <w:widowControl w:val="0"/>
        <w:spacing w:after="12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والتذكير: ومنه: الوعد والوعيد، والجنة والنار، وتصفية الظاهر والباطن.</w:t>
      </w:r>
    </w:p>
    <w:p w:rsidR="00E71196" w:rsidRPr="00E71196" w:rsidRDefault="00E71196" w:rsidP="00E71196">
      <w:pPr>
        <w:widowControl w:val="0"/>
        <w:spacing w:after="120" w:line="240" w:lineRule="auto"/>
        <w:jc w:val="both"/>
        <w:rPr>
          <w:rFonts w:asciiTheme="majorBidi" w:hAnsiTheme="majorBidi" w:cstheme="majorBidi"/>
          <w:b/>
          <w:bCs/>
          <w:spacing w:val="-8"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pacing w:val="-8"/>
          <w:sz w:val="18"/>
          <w:szCs w:val="18"/>
          <w:rtl/>
        </w:rPr>
        <w:t>والأحكام: ومنها: التكاليف كلّها، وتبيين المنافع والمضار، والأمر، والنهى، والندب.</w:t>
      </w:r>
    </w:p>
    <w:p w:rsidR="00E71196" w:rsidRPr="00E71196" w:rsidRDefault="00E71196" w:rsidP="00E71196">
      <w:pPr>
        <w:widowControl w:val="0"/>
        <w:spacing w:after="120" w:line="240" w:lineRule="auto"/>
        <w:jc w:val="lowKashida"/>
        <w:rPr>
          <w:rFonts w:asciiTheme="majorBidi" w:hAnsiTheme="majorBidi" w:cstheme="majorBidi"/>
          <w:b/>
          <w:bCs/>
          <w:spacing w:val="-16"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pacing w:val="-16"/>
          <w:sz w:val="18"/>
          <w:szCs w:val="18"/>
          <w:rtl/>
        </w:rPr>
        <w:t>فالأول:</w:t>
      </w:r>
      <w:r w:rsidRPr="00E71196">
        <w:rPr>
          <w:rFonts w:asciiTheme="majorBidi" w:hAnsiTheme="majorBidi" w:cstheme="majorBidi"/>
          <w:b/>
          <w:bCs/>
          <w:spacing w:val="-16"/>
          <w:sz w:val="18"/>
          <w:szCs w:val="18"/>
          <w:rtl/>
          <w:lang w:eastAsia="en-MY"/>
        </w:rPr>
        <w:t>{</w:t>
      </w:r>
      <w:r w:rsidRPr="00E71196">
        <w:rPr>
          <w:rFonts w:asciiTheme="majorBidi" w:hAnsiTheme="majorBidi" w:cstheme="majorBidi"/>
          <w:b/>
          <w:bCs/>
          <w:spacing w:val="-16"/>
          <w:sz w:val="18"/>
          <w:szCs w:val="18"/>
          <w:rtl/>
        </w:rPr>
        <w:t>ﯽ ﯾ ﯿ</w:t>
      </w:r>
      <w:r w:rsidRPr="00E71196">
        <w:rPr>
          <w:rFonts w:asciiTheme="majorBidi" w:hAnsiTheme="majorBidi" w:cstheme="majorBidi"/>
          <w:b/>
          <w:bCs/>
          <w:spacing w:val="-16"/>
          <w:sz w:val="18"/>
          <w:szCs w:val="18"/>
          <w:rtl/>
          <w:lang w:eastAsia="en-MY"/>
        </w:rPr>
        <w:t xml:space="preserve">} </w:t>
      </w:r>
      <w:r w:rsidRPr="00E71196">
        <w:rPr>
          <w:rFonts w:asciiTheme="majorBidi" w:hAnsiTheme="majorBidi" w:cstheme="majorBidi"/>
          <w:b/>
          <w:bCs/>
          <w:spacing w:val="-16"/>
          <w:sz w:val="18"/>
          <w:szCs w:val="18"/>
          <w:rtl/>
        </w:rPr>
        <w:t>[النحل: 22]</w:t>
      </w:r>
      <w:r w:rsidRPr="00E71196">
        <w:rPr>
          <w:rFonts w:asciiTheme="majorBidi" w:hAnsiTheme="majorBidi" w:cstheme="majorBidi"/>
          <w:b/>
          <w:bCs/>
          <w:spacing w:val="-16"/>
          <w:sz w:val="18"/>
          <w:szCs w:val="18"/>
          <w:rtl/>
          <w:lang w:eastAsia="en-MY"/>
        </w:rPr>
        <w:t>،</w:t>
      </w:r>
      <w:r w:rsidRPr="00E71196">
        <w:rPr>
          <w:rFonts w:asciiTheme="majorBidi" w:hAnsiTheme="majorBidi" w:cstheme="majorBidi"/>
          <w:b/>
          <w:bCs/>
          <w:spacing w:val="-16"/>
          <w:sz w:val="18"/>
          <w:szCs w:val="18"/>
          <w:rtl/>
        </w:rPr>
        <w:t>فيه: التوحيد كلّه في الذات، والصفات، والأفعال.</w:t>
      </w:r>
    </w:p>
    <w:p w:rsidR="00E71196" w:rsidRPr="00E71196" w:rsidRDefault="00E71196" w:rsidP="00E71196">
      <w:pPr>
        <w:widowControl w:val="0"/>
        <w:spacing w:after="12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والثاني: </w:t>
      </w:r>
      <w:r w:rsidRPr="00E71196">
        <w:rPr>
          <w:rFonts w:asciiTheme="majorBidi" w:hAnsiTheme="majorBidi" w:cstheme="majorBidi"/>
          <w:b/>
          <w:bCs/>
          <w:sz w:val="18"/>
          <w:szCs w:val="18"/>
          <w:rtl/>
          <w:lang w:eastAsia="en-MY"/>
        </w:rPr>
        <w:t>{</w:t>
      </w: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ﭭ ﭮ ﭯ ﭰ ﭱ</w:t>
      </w:r>
      <w:r w:rsidRPr="00E71196">
        <w:rPr>
          <w:rFonts w:asciiTheme="majorBidi" w:hAnsiTheme="majorBidi" w:cstheme="majorBidi"/>
          <w:b/>
          <w:bCs/>
          <w:sz w:val="18"/>
          <w:szCs w:val="18"/>
          <w:rtl/>
          <w:lang w:eastAsia="en-MY"/>
        </w:rPr>
        <w:t xml:space="preserve">} </w:t>
      </w: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[الذاريات: 55]</w:t>
      </w:r>
      <w:r w:rsidRPr="00E71196">
        <w:rPr>
          <w:rFonts w:asciiTheme="majorBidi" w:hAnsiTheme="majorBidi" w:cstheme="majorBidi"/>
          <w:b/>
          <w:bCs/>
          <w:sz w:val="18"/>
          <w:szCs w:val="18"/>
          <w:rtl/>
          <w:lang w:eastAsia="en-MY"/>
        </w:rPr>
        <w:t>.</w:t>
      </w:r>
    </w:p>
    <w:p w:rsidR="00E71196" w:rsidRPr="00E71196" w:rsidRDefault="00E71196" w:rsidP="00E71196">
      <w:pPr>
        <w:widowControl w:val="0"/>
        <w:spacing w:after="12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والثالث: </w:t>
      </w:r>
      <w:r w:rsidRPr="00E71196">
        <w:rPr>
          <w:rFonts w:asciiTheme="majorBidi" w:hAnsiTheme="majorBidi" w:cstheme="majorBidi"/>
          <w:b/>
          <w:bCs/>
          <w:sz w:val="18"/>
          <w:szCs w:val="18"/>
          <w:rtl/>
          <w:lang w:eastAsia="en-MY"/>
        </w:rPr>
        <w:t>{</w:t>
      </w: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ﯚ ﯛ ﯜ</w:t>
      </w:r>
      <w:r w:rsidRPr="00E71196">
        <w:rPr>
          <w:rFonts w:asciiTheme="majorBidi" w:hAnsiTheme="majorBidi" w:cstheme="majorBidi"/>
          <w:b/>
          <w:bCs/>
          <w:sz w:val="18"/>
          <w:szCs w:val="18"/>
          <w:rtl/>
          <w:lang w:eastAsia="en-MY"/>
        </w:rPr>
        <w:t xml:space="preserve">} </w:t>
      </w: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[المائدة: 49]</w:t>
      </w:r>
      <w:r w:rsidRPr="00E71196">
        <w:rPr>
          <w:rFonts w:asciiTheme="majorBidi" w:hAnsiTheme="majorBidi" w:cstheme="majorBidi"/>
          <w:b/>
          <w:bCs/>
          <w:sz w:val="18"/>
          <w:szCs w:val="18"/>
          <w:rtl/>
          <w:lang w:eastAsia="en-MY"/>
        </w:rPr>
        <w:t>.</w:t>
      </w: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ولذلك قيل في معنى قوله </w:t>
      </w:r>
      <w:r w:rsidRPr="00E71196">
        <w:rPr>
          <w:rFonts w:asciiTheme="majorBidi" w:hAnsiTheme="majorBidi" w:cstheme="majorBidi"/>
          <w:b/>
          <w:bCs/>
          <w:position w:val="-4"/>
          <w:sz w:val="18"/>
          <w:szCs w:val="18"/>
        </w:rPr>
        <w:sym w:font="AGA Arabesque" w:char="F065"/>
      </w: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: ((</w:t>
      </w:r>
      <w:r w:rsidRPr="00E71196">
        <w:rPr>
          <w:rFonts w:asciiTheme="majorBidi" w:hAnsiTheme="majorBidi" w:cstheme="majorBidi"/>
          <w:b/>
          <w:bCs/>
          <w:sz w:val="18"/>
          <w:szCs w:val="18"/>
          <w:rtl/>
          <w:lang w:eastAsia="en-MY"/>
        </w:rPr>
        <w:t>{</w:t>
      </w: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ﭑ ﭒ ﭓ ﭔ</w:t>
      </w:r>
      <w:r w:rsidRPr="00E71196">
        <w:rPr>
          <w:rFonts w:asciiTheme="majorBidi" w:hAnsiTheme="majorBidi" w:cstheme="majorBidi"/>
          <w:b/>
          <w:bCs/>
          <w:sz w:val="18"/>
          <w:szCs w:val="18"/>
          <w:rtl/>
          <w:lang w:eastAsia="en-MY"/>
        </w:rPr>
        <w:t xml:space="preserve">} </w:t>
      </w: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[الإخلاص: 1]</w:t>
      </w:r>
      <w:r w:rsidRPr="00E71196">
        <w:rPr>
          <w:rFonts w:asciiTheme="majorBidi" w:hAnsiTheme="majorBidi" w:cstheme="majorBidi"/>
          <w:b/>
          <w:bCs/>
          <w:sz w:val="18"/>
          <w:szCs w:val="18"/>
          <w:rtl/>
          <w:lang w:eastAsia="en-MY"/>
        </w:rPr>
        <w:t>،</w:t>
      </w: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تعدل ثلث القرآن))، يعنى: في الأجر، وذلك فضل الله يؤتيه من يشاء. وقيل: ثلثه في المعنى، لأن القرآن ثلاثة أقسام كما ذكرنا، وهذه السورة اشتملت على التوحيد؛ ولهذا المعنى صارت فاتحة الكتاب: (أم الكتاب)، لأن فيها الأقسام الثلاثة.</w:t>
      </w:r>
    </w:p>
    <w:p w:rsidR="00E71196" w:rsidRPr="00E71196" w:rsidRDefault="00E71196" w:rsidP="00E71196">
      <w:pPr>
        <w:widowControl w:val="0"/>
        <w:spacing w:after="12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فأما التوحيد: فمن أوّلها إلى قوله: </w:t>
      </w:r>
      <w:r w:rsidRPr="00E71196">
        <w:rPr>
          <w:rFonts w:asciiTheme="majorBidi" w:hAnsiTheme="majorBidi" w:cstheme="majorBidi"/>
          <w:b/>
          <w:bCs/>
          <w:sz w:val="18"/>
          <w:szCs w:val="18"/>
          <w:rtl/>
          <w:lang w:eastAsia="en-MY"/>
        </w:rPr>
        <w:t>{</w:t>
      </w: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ﭟ ﭠ</w:t>
      </w:r>
      <w:r w:rsidRPr="00E71196">
        <w:rPr>
          <w:rFonts w:asciiTheme="majorBidi" w:hAnsiTheme="majorBidi" w:cstheme="majorBidi"/>
          <w:b/>
          <w:bCs/>
          <w:sz w:val="18"/>
          <w:szCs w:val="18"/>
          <w:rtl/>
          <w:lang w:eastAsia="en-MY"/>
        </w:rPr>
        <w:t xml:space="preserve">} </w:t>
      </w: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[الفاتحة: 4]</w:t>
      </w:r>
      <w:r w:rsidRPr="00E71196">
        <w:rPr>
          <w:rFonts w:asciiTheme="majorBidi" w:hAnsiTheme="majorBidi" w:cstheme="majorBidi"/>
          <w:b/>
          <w:bCs/>
          <w:sz w:val="18"/>
          <w:szCs w:val="18"/>
          <w:rtl/>
          <w:lang w:eastAsia="en-MY"/>
        </w:rPr>
        <w:t>.</w:t>
      </w: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E71196">
        <w:rPr>
          <w:rFonts w:asciiTheme="majorBidi" w:hAnsiTheme="majorBidi" w:cstheme="majorBidi"/>
          <w:b/>
          <w:bCs/>
          <w:sz w:val="18"/>
          <w:szCs w:val="18"/>
          <w:rtl/>
          <w:lang w:eastAsia="en-MY"/>
        </w:rPr>
        <w:t>وأما الأحكام ففي {</w:t>
      </w: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ﭢ ﭣ ﭤ ﭥ</w:t>
      </w:r>
      <w:r w:rsidRPr="00E71196">
        <w:rPr>
          <w:rFonts w:asciiTheme="majorBidi" w:hAnsiTheme="majorBidi" w:cstheme="majorBidi"/>
          <w:b/>
          <w:bCs/>
          <w:sz w:val="18"/>
          <w:szCs w:val="18"/>
          <w:rtl/>
          <w:lang w:eastAsia="en-MY"/>
        </w:rPr>
        <w:t xml:space="preserve">} </w:t>
      </w: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[الفاتحة: 5]</w:t>
      </w:r>
      <w:r w:rsidRPr="00E71196">
        <w:rPr>
          <w:rFonts w:asciiTheme="majorBidi" w:hAnsiTheme="majorBidi" w:cstheme="majorBidi"/>
          <w:b/>
          <w:bCs/>
          <w:sz w:val="18"/>
          <w:szCs w:val="18"/>
          <w:rtl/>
          <w:lang w:eastAsia="en-MY"/>
        </w:rPr>
        <w:t>. وأما التذكير فمن قوله {</w:t>
      </w: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ﭧ</w:t>
      </w:r>
      <w:r w:rsidRPr="00E71196">
        <w:rPr>
          <w:rFonts w:asciiTheme="majorBidi" w:hAnsiTheme="majorBidi" w:cstheme="majorBidi"/>
          <w:b/>
          <w:bCs/>
          <w:sz w:val="18"/>
          <w:szCs w:val="18"/>
          <w:rtl/>
          <w:lang w:eastAsia="en-MY"/>
        </w:rPr>
        <w:t xml:space="preserve">} </w:t>
      </w: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[الفاتحة: 5] إلى آخرها؛ فصارت بهذا أمًا، لأنه يتفرع عنها كل نبت. وقيل: صارت أمًا، لأنها مقدمة على القرآن بالقَبْلية، والأم قبل البنت. وقيل: سُمِّيت (فاتحة)، لأنها تفتح أبواب الجنة، على وجوه مذكورة في مواضعها...</w:t>
      </w:r>
    </w:p>
    <w:p w:rsidR="00E71196" w:rsidRPr="00E71196" w:rsidRDefault="00E71196" w:rsidP="00E71196">
      <w:pPr>
        <w:widowControl w:val="0"/>
        <w:spacing w:after="12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وقال محمد بن جرير الطبرى: يشتمل على ثلاثة أشياء: التوحيد، والأخبار، والديانات.</w:t>
      </w:r>
    </w:p>
    <w:p w:rsidR="00E71196" w:rsidRDefault="00E71196" w:rsidP="00E71196">
      <w:pPr>
        <w:widowControl w:val="0"/>
        <w:spacing w:after="120" w:line="240" w:lineRule="auto"/>
        <w:jc w:val="both"/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>قال القاضي أبو المعالي: وعلى التحقيق أن تلك الثلاثة التي قالها محمد بن جرير تشمل هذه كلَّها، بل أضعافَها؛ فإن القرآن لا يستدرك ولا تحصى غرائبه وعجائبه</w:t>
      </w: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]</w:t>
      </w:r>
      <w:r w:rsidRPr="00E71196">
        <w:rPr>
          <w:rFonts w:asciiTheme="majorBidi" w:hAnsiTheme="majorBidi" w:cstheme="majorBidi"/>
          <w:b/>
          <w:bCs/>
          <w:sz w:val="18"/>
          <w:szCs w:val="18"/>
          <w:rtl/>
          <w:lang w:eastAsia="en-MY"/>
        </w:rPr>
        <w:t>.</w:t>
      </w:r>
      <w:r w:rsidRPr="00E71196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 xml:space="preserve"> وقيل: غيرُ ذلك...</w:t>
      </w:r>
    </w:p>
    <w:p w:rsidR="00E71196" w:rsidRPr="00E71196" w:rsidRDefault="00E71196" w:rsidP="00E71196">
      <w:pPr>
        <w:widowControl w:val="0"/>
        <w:spacing w:after="120" w:line="240" w:lineRule="auto"/>
        <w:jc w:val="both"/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</w:pPr>
    </w:p>
    <w:p w:rsidR="00E71196" w:rsidRPr="00E71196" w:rsidRDefault="00E71196" w:rsidP="00E71196">
      <w:pPr>
        <w:widowControl w:val="0"/>
        <w:numPr>
          <w:ilvl w:val="0"/>
          <w:numId w:val="1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(الإتقان في علوم القرآن) </w:t>
      </w:r>
    </w:p>
    <w:p w:rsidR="00E71196" w:rsidRPr="00E71196" w:rsidRDefault="00E71196" w:rsidP="00E71196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أبو بكر عبد الرحمن بن الكمال السيوطي, الهيئة المصرية العامة للكتاب، 1974م.</w:t>
      </w:r>
    </w:p>
    <w:p w:rsidR="00E71196" w:rsidRPr="00E71196" w:rsidRDefault="00E71196" w:rsidP="00E71196">
      <w:pPr>
        <w:widowControl w:val="0"/>
        <w:numPr>
          <w:ilvl w:val="0"/>
          <w:numId w:val="1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(إعجاز القرآن)</w:t>
      </w:r>
    </w:p>
    <w:p w:rsidR="00E71196" w:rsidRPr="00E71196" w:rsidRDefault="00E71196" w:rsidP="00E71196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أبو بكر بن الطيب الباقلاني، تحقيق: عماد الدين حيدر، مؤسسة الكتب الثقافية، 1991م.</w:t>
      </w:r>
    </w:p>
    <w:p w:rsidR="00E71196" w:rsidRPr="00E71196" w:rsidRDefault="00E71196" w:rsidP="00E71196">
      <w:pPr>
        <w:widowControl w:val="0"/>
        <w:numPr>
          <w:ilvl w:val="0"/>
          <w:numId w:val="1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(البرهان في علوم القرآن)</w:t>
      </w:r>
    </w:p>
    <w:p w:rsidR="00E71196" w:rsidRPr="00E71196" w:rsidRDefault="00E71196" w:rsidP="00E71196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  <w:lang w:eastAsia="ar-SA"/>
        </w:rPr>
        <w:t>محمد بن بهادر بن عبد الله</w:t>
      </w: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الزركشي، دار الكتب العلمية، 2001م.</w:t>
      </w:r>
    </w:p>
    <w:p w:rsidR="00E71196" w:rsidRPr="00E71196" w:rsidRDefault="00E71196" w:rsidP="00E71196">
      <w:pPr>
        <w:widowControl w:val="0"/>
        <w:numPr>
          <w:ilvl w:val="0"/>
          <w:numId w:val="1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(التعريفات)</w:t>
      </w:r>
    </w:p>
    <w:p w:rsidR="00E71196" w:rsidRPr="00E71196" w:rsidRDefault="00E71196" w:rsidP="00E71196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علي محمد الجرجاني، دار الكتاب المصري، 1991م.</w:t>
      </w:r>
    </w:p>
    <w:p w:rsidR="00E71196" w:rsidRPr="00E71196" w:rsidRDefault="00E71196" w:rsidP="00E71196">
      <w:pPr>
        <w:widowControl w:val="0"/>
        <w:numPr>
          <w:ilvl w:val="0"/>
          <w:numId w:val="1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(التوقيف على مهمات التعاريف)</w:t>
      </w:r>
    </w:p>
    <w:p w:rsidR="00E71196" w:rsidRPr="00E71196" w:rsidRDefault="00E71196" w:rsidP="00E71196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محمد عبد الرؤوف المناوي، عالم الكتب، 1990م.</w:t>
      </w:r>
    </w:p>
    <w:p w:rsidR="00E71196" w:rsidRPr="00E71196" w:rsidRDefault="00E71196" w:rsidP="00E71196">
      <w:pPr>
        <w:widowControl w:val="0"/>
        <w:numPr>
          <w:ilvl w:val="0"/>
          <w:numId w:val="1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(صحيح البخاري مع شرحه فتح الباري)</w:t>
      </w:r>
    </w:p>
    <w:p w:rsidR="00E71196" w:rsidRPr="00E71196" w:rsidRDefault="00E71196" w:rsidP="00E71196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ابن حجر العسقلاني، دار الكتب العلمية، 1997م.</w:t>
      </w:r>
    </w:p>
    <w:p w:rsidR="00E71196" w:rsidRPr="00E71196" w:rsidRDefault="00E71196" w:rsidP="00E71196">
      <w:pPr>
        <w:widowControl w:val="0"/>
        <w:numPr>
          <w:ilvl w:val="0"/>
          <w:numId w:val="1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(العجاب في بيان الأسباب)</w:t>
      </w:r>
    </w:p>
    <w:p w:rsidR="00E71196" w:rsidRPr="00E71196" w:rsidRDefault="00E71196" w:rsidP="00E71196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ابن حجر العسقلاني، دار ابن الجوزي، 1997م. </w:t>
      </w:r>
    </w:p>
    <w:p w:rsidR="00E71196" w:rsidRPr="00E71196" w:rsidRDefault="00E71196" w:rsidP="00E71196">
      <w:pPr>
        <w:widowControl w:val="0"/>
        <w:numPr>
          <w:ilvl w:val="0"/>
          <w:numId w:val="1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(فضائل القرآن)</w:t>
      </w:r>
    </w:p>
    <w:p w:rsidR="00E71196" w:rsidRPr="00E71196" w:rsidRDefault="00E71196" w:rsidP="00E71196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أحمد بن شعيب النسائي، مؤسسة الكتب الثقافية، 1985م.</w:t>
      </w:r>
    </w:p>
    <w:p w:rsidR="00E71196" w:rsidRPr="00E71196" w:rsidRDefault="00E71196" w:rsidP="00E71196">
      <w:pPr>
        <w:widowControl w:val="0"/>
        <w:numPr>
          <w:ilvl w:val="0"/>
          <w:numId w:val="1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(فيض القدير شرح الجامع الصغير)</w:t>
      </w:r>
    </w:p>
    <w:p w:rsidR="00E71196" w:rsidRPr="00E71196" w:rsidRDefault="00E71196" w:rsidP="00E71196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محمد بن عبد الرؤوف المناوي، دار المعرفة، 1980م.</w:t>
      </w:r>
    </w:p>
    <w:p w:rsidR="00E71196" w:rsidRPr="00E71196" w:rsidRDefault="00E71196" w:rsidP="00E71196">
      <w:pPr>
        <w:widowControl w:val="0"/>
        <w:numPr>
          <w:ilvl w:val="0"/>
          <w:numId w:val="1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(السبعة في القراءات)</w:t>
      </w:r>
    </w:p>
    <w:p w:rsidR="00E71196" w:rsidRPr="00E71196" w:rsidRDefault="00E71196" w:rsidP="00E71196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أحمد بن موسى بن مجاهد، دار المعارف، 1988م.</w:t>
      </w:r>
    </w:p>
    <w:p w:rsidR="00E71196" w:rsidRPr="00E71196" w:rsidRDefault="00E71196" w:rsidP="00E71196">
      <w:pPr>
        <w:widowControl w:val="0"/>
        <w:numPr>
          <w:ilvl w:val="0"/>
          <w:numId w:val="1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(لسان العرب)</w:t>
      </w:r>
    </w:p>
    <w:p w:rsidR="00E71196" w:rsidRPr="00E71196" w:rsidRDefault="00E71196" w:rsidP="00E71196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محمد بن مكرم بن منظور، طبعة دار إحياء التراث العربي، 1999م.</w:t>
      </w:r>
    </w:p>
    <w:p w:rsidR="00E71196" w:rsidRPr="00E71196" w:rsidRDefault="00E71196" w:rsidP="00E71196">
      <w:pPr>
        <w:widowControl w:val="0"/>
        <w:numPr>
          <w:ilvl w:val="0"/>
          <w:numId w:val="1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(مباحث في علوم القرآن)</w:t>
      </w:r>
    </w:p>
    <w:p w:rsidR="00E71196" w:rsidRPr="00E71196" w:rsidRDefault="00E71196" w:rsidP="00E71196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صبحي الصالح، دار العلم للملايين، 2002م.</w:t>
      </w:r>
    </w:p>
    <w:p w:rsidR="00E71196" w:rsidRPr="00E71196" w:rsidRDefault="00E71196" w:rsidP="00E71196">
      <w:pPr>
        <w:widowControl w:val="0"/>
        <w:numPr>
          <w:ilvl w:val="0"/>
          <w:numId w:val="1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(مباحث في علوم القرآن)</w:t>
      </w:r>
    </w:p>
    <w:p w:rsidR="00E71196" w:rsidRPr="00E71196" w:rsidRDefault="00E71196" w:rsidP="00E71196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مناع خليل القطان، مؤسسة الرسالة للطباعة والنشر والتوزيع، 2000م.</w:t>
      </w:r>
    </w:p>
    <w:p w:rsidR="00E71196" w:rsidRPr="00E71196" w:rsidRDefault="00E71196" w:rsidP="00E71196">
      <w:pPr>
        <w:widowControl w:val="0"/>
        <w:numPr>
          <w:ilvl w:val="0"/>
          <w:numId w:val="1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(المستدرك على الصحيحين)</w:t>
      </w:r>
    </w:p>
    <w:p w:rsidR="00E71196" w:rsidRPr="00E71196" w:rsidRDefault="00E71196" w:rsidP="00E71196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محمد بن عبد الله الحاكم النيسابوري، دار الكتب العلمية، 1990م.</w:t>
      </w:r>
    </w:p>
    <w:p w:rsidR="00E71196" w:rsidRPr="00E71196" w:rsidRDefault="00E71196" w:rsidP="00E71196">
      <w:pPr>
        <w:widowControl w:val="0"/>
        <w:numPr>
          <w:ilvl w:val="0"/>
          <w:numId w:val="1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>(مناهل العرفان)</w:t>
      </w:r>
    </w:p>
    <w:p w:rsidR="00E71196" w:rsidRPr="00E71196" w:rsidRDefault="00E71196" w:rsidP="00E71196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محمد بن عبد العظيم الزرقاني، دار الكتب العلمية، 2003م.</w:t>
      </w:r>
    </w:p>
    <w:p w:rsidR="00E71196" w:rsidRPr="00E71196" w:rsidRDefault="00E71196" w:rsidP="00E71196">
      <w:pPr>
        <w:widowControl w:val="0"/>
        <w:numPr>
          <w:ilvl w:val="0"/>
          <w:numId w:val="1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(التبيان في تفسير غريب القرآن)</w:t>
      </w:r>
    </w:p>
    <w:p w:rsidR="00E71196" w:rsidRPr="00E71196" w:rsidRDefault="00E71196" w:rsidP="00E71196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شهاب الدين أحمد بن محمد الهائم المصري، المكتبة المحمودية، 1960م.</w:t>
      </w:r>
    </w:p>
    <w:p w:rsidR="00E71196" w:rsidRPr="00E71196" w:rsidRDefault="00E71196" w:rsidP="00E71196">
      <w:pPr>
        <w:widowControl w:val="0"/>
        <w:numPr>
          <w:ilvl w:val="0"/>
          <w:numId w:val="1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(دلائل الإعجاز)</w:t>
      </w:r>
    </w:p>
    <w:p w:rsidR="00E71196" w:rsidRPr="00E71196" w:rsidRDefault="00E71196" w:rsidP="00E71196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عبد القاهر الجرجاني، دار الكتب العلمية، 1988م.</w:t>
      </w:r>
    </w:p>
    <w:p w:rsidR="00E71196" w:rsidRPr="00E71196" w:rsidRDefault="00E71196" w:rsidP="00E71196">
      <w:pPr>
        <w:widowControl w:val="0"/>
        <w:numPr>
          <w:ilvl w:val="0"/>
          <w:numId w:val="1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(فهم القرآن)</w:t>
      </w:r>
    </w:p>
    <w:p w:rsidR="00E71196" w:rsidRPr="00E71196" w:rsidRDefault="00E71196" w:rsidP="00E71196">
      <w:pPr>
        <w:spacing w:after="120" w:line="240" w:lineRule="auto"/>
        <w:ind w:left="363" w:hanging="79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الحارث بن أسد المحاسبي، دار الكندي للطباعة والنشر، 1982م.</w:t>
      </w:r>
    </w:p>
    <w:p w:rsidR="00E71196" w:rsidRPr="00E71196" w:rsidRDefault="00E71196" w:rsidP="00E71196">
      <w:pPr>
        <w:widowControl w:val="0"/>
        <w:numPr>
          <w:ilvl w:val="0"/>
          <w:numId w:val="1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(نفائس البيان شرح الفرائد الحسان في عد آي القرآن)</w:t>
      </w:r>
    </w:p>
    <w:p w:rsidR="00E71196" w:rsidRPr="00E71196" w:rsidRDefault="00E71196" w:rsidP="00E71196">
      <w:pPr>
        <w:spacing w:after="120" w:line="240" w:lineRule="auto"/>
        <w:ind w:left="363" w:hanging="79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الشيخ عبد الفتاح القاضي، مطبعة عيسى البابي الحلبي، ١٣٥٥هـ.</w:t>
      </w:r>
    </w:p>
    <w:p w:rsidR="00E71196" w:rsidRPr="00E71196" w:rsidRDefault="00E71196" w:rsidP="00E71196">
      <w:pPr>
        <w:widowControl w:val="0"/>
        <w:numPr>
          <w:ilvl w:val="0"/>
          <w:numId w:val="1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(الأصلان في علوم القرآن)</w:t>
      </w:r>
    </w:p>
    <w:p w:rsidR="00E71196" w:rsidRPr="00E71196" w:rsidRDefault="00E71196" w:rsidP="00E71196">
      <w:pPr>
        <w:spacing w:after="120" w:line="240" w:lineRule="auto"/>
        <w:ind w:left="363" w:hanging="79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>محمد عبد المنعم القيعي، طبعة المكتبات الأزهرية، ١٩٨٠م.</w:t>
      </w:r>
    </w:p>
    <w:p w:rsidR="00E71196" w:rsidRPr="00E71196" w:rsidRDefault="00E71196" w:rsidP="00E71196">
      <w:pPr>
        <w:widowControl w:val="0"/>
        <w:numPr>
          <w:ilvl w:val="0"/>
          <w:numId w:val="1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(مختصر في قواعد التفسير)</w:t>
      </w:r>
    </w:p>
    <w:p w:rsidR="00E71196" w:rsidRPr="00E71196" w:rsidRDefault="00E71196" w:rsidP="00E71196">
      <w:pPr>
        <w:spacing w:after="120" w:line="240" w:lineRule="auto"/>
        <w:ind w:left="363" w:hanging="79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خالد السبت، مطبعة ابن الجوزي، ١٤٢٣هـ.</w:t>
      </w:r>
    </w:p>
    <w:p w:rsidR="00E71196" w:rsidRPr="00E71196" w:rsidRDefault="00E71196" w:rsidP="00E71196">
      <w:pPr>
        <w:widowControl w:val="0"/>
        <w:numPr>
          <w:ilvl w:val="0"/>
          <w:numId w:val="1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(الصحيح المسند من أسباب النزول)</w:t>
      </w:r>
    </w:p>
    <w:p w:rsidR="00E71196" w:rsidRPr="00E71196" w:rsidRDefault="00E71196" w:rsidP="00E71196">
      <w:pPr>
        <w:spacing w:after="120" w:line="240" w:lineRule="auto"/>
        <w:ind w:left="363" w:hanging="79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مقبل بن هادي الوادعي، الرياض،  مكتبة المعارف، 1400هـ.</w:t>
      </w:r>
    </w:p>
    <w:p w:rsidR="00E71196" w:rsidRPr="00E71196" w:rsidRDefault="00E71196" w:rsidP="00E71196">
      <w:pPr>
        <w:widowControl w:val="0"/>
        <w:numPr>
          <w:ilvl w:val="0"/>
          <w:numId w:val="1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(موسوعة فضائل سور وآيات القرآن)</w:t>
      </w:r>
    </w:p>
    <w:p w:rsidR="00E71196" w:rsidRPr="00E71196" w:rsidRDefault="00E71196" w:rsidP="00E71196">
      <w:pPr>
        <w:spacing w:after="120" w:line="240" w:lineRule="auto"/>
        <w:ind w:left="363" w:hanging="79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محمد بن رزق الطرهوني، مكتبة العلم، 1994م.</w:t>
      </w:r>
    </w:p>
    <w:p w:rsidR="00E71196" w:rsidRPr="00E71196" w:rsidRDefault="00E71196" w:rsidP="00E71196">
      <w:pPr>
        <w:widowControl w:val="0"/>
        <w:numPr>
          <w:ilvl w:val="0"/>
          <w:numId w:val="1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(سنن القرّاء ومناهج المجوّدين)</w:t>
      </w:r>
    </w:p>
    <w:p w:rsidR="00E71196" w:rsidRPr="00E71196" w:rsidRDefault="00E71196" w:rsidP="00E71196">
      <w:pPr>
        <w:spacing w:after="120" w:line="240" w:lineRule="auto"/>
        <w:ind w:left="363" w:hanging="79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عبد العزيز القارئ، مكتبة الدار للنشر والتوزيع، 2000م.</w:t>
      </w:r>
    </w:p>
    <w:p w:rsidR="00E71196" w:rsidRPr="00E71196" w:rsidRDefault="00E71196" w:rsidP="00E71196">
      <w:pPr>
        <w:widowControl w:val="0"/>
        <w:numPr>
          <w:ilvl w:val="0"/>
          <w:numId w:val="1"/>
        </w:numPr>
        <w:tabs>
          <w:tab w:val="clear" w:pos="6"/>
        </w:tabs>
        <w:spacing w:after="120" w:line="240" w:lineRule="auto"/>
        <w:ind w:left="363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(النشر في القراءات العشر)</w:t>
      </w:r>
    </w:p>
    <w:p w:rsidR="00E71196" w:rsidRPr="00E71196" w:rsidRDefault="00E71196" w:rsidP="00E71196">
      <w:pPr>
        <w:spacing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E71196">
        <w:rPr>
          <w:rFonts w:asciiTheme="majorBidi" w:hAnsiTheme="majorBidi" w:cstheme="majorBidi"/>
          <w:b/>
          <w:bCs/>
          <w:sz w:val="18"/>
          <w:szCs w:val="18"/>
          <w:rtl/>
        </w:rPr>
        <w:t>محمد بن الجزري، المكتبة التجارية الكبرى، 1970م.</w:t>
      </w:r>
    </w:p>
    <w:p w:rsidR="00E71196" w:rsidRDefault="00E71196" w:rsidP="00E71196">
      <w:pPr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  <w:sectPr w:rsidR="00E71196" w:rsidSect="00E71196">
          <w:type w:val="continuous"/>
          <w:pgSz w:w="11906" w:h="16838"/>
          <w:pgMar w:top="1440" w:right="1440" w:bottom="1440" w:left="1440" w:header="720" w:footer="720" w:gutter="0"/>
          <w:cols w:num="2" w:space="720"/>
          <w:bidi/>
          <w:rtlGutter/>
          <w:docGrid w:linePitch="360"/>
        </w:sectPr>
      </w:pPr>
    </w:p>
    <w:p w:rsidR="00885B7A" w:rsidRPr="00E71196" w:rsidRDefault="00885B7A" w:rsidP="00E71196">
      <w:pPr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885B7A" w:rsidRPr="00885B7A" w:rsidRDefault="00885B7A" w:rsidP="00885B7A">
      <w:pPr>
        <w:rPr>
          <w:rFonts w:asciiTheme="majorBidi" w:hAnsiTheme="majorBidi" w:cstheme="majorBidi"/>
          <w:sz w:val="18"/>
          <w:szCs w:val="18"/>
          <w:lang w:bidi="ar-EG"/>
        </w:rPr>
      </w:pPr>
    </w:p>
    <w:sectPr w:rsidR="00885B7A" w:rsidRPr="00885B7A" w:rsidSect="00E71196">
      <w:type w:val="continuous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2787"/>
    <w:multiLevelType w:val="hybridMultilevel"/>
    <w:tmpl w:val="316ECF5E"/>
    <w:lvl w:ilvl="0" w:tplc="1BB2DDB4">
      <w:start w:val="1"/>
      <w:numFmt w:val="bullet"/>
      <w:lvlText w:val=""/>
      <w:lvlJc w:val="center"/>
      <w:pPr>
        <w:ind w:left="172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">
    <w:nsid w:val="4A461ED3"/>
    <w:multiLevelType w:val="hybridMultilevel"/>
    <w:tmpl w:val="893C6592"/>
    <w:lvl w:ilvl="0" w:tplc="94D654B6">
      <w:start w:val="1"/>
      <w:numFmt w:val="decimal"/>
      <w:lvlRestart w:val="0"/>
      <w:lvlText w:val="%1."/>
      <w:lvlJc w:val="left"/>
      <w:pPr>
        <w:tabs>
          <w:tab w:val="num" w:pos="6"/>
        </w:tabs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35D6F"/>
    <w:multiLevelType w:val="hybridMultilevel"/>
    <w:tmpl w:val="59045AF0"/>
    <w:lvl w:ilvl="0" w:tplc="DDAE06A2">
      <w:start w:val="1"/>
      <w:numFmt w:val="bullet"/>
      <w:lvlText w:val=""/>
      <w:lvlJc w:val="center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885B7A"/>
    <w:rsid w:val="00022006"/>
    <w:rsid w:val="005C15CC"/>
    <w:rsid w:val="00885B7A"/>
    <w:rsid w:val="00894D14"/>
    <w:rsid w:val="00DB5FBD"/>
    <w:rsid w:val="00E7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filiation">
    <w:name w:val="Affiliation"/>
    <w:rsid w:val="00885B7A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Author">
    <w:name w:val="Author"/>
    <w:rsid w:val="00885B7A"/>
    <w:pPr>
      <w:suppressAutoHyphens/>
      <w:spacing w:before="360" w:after="40" w:line="240" w:lineRule="auto"/>
      <w:jc w:val="center"/>
    </w:pPr>
    <w:rPr>
      <w:rFonts w:ascii="Times New Roman" w:eastAsia="SimSun" w:hAnsi="Times New Roman" w:cs="Times New Roman"/>
    </w:rPr>
  </w:style>
  <w:style w:type="paragraph" w:styleId="ListParagraph">
    <w:name w:val="List Paragraph"/>
    <w:basedOn w:val="Normal"/>
    <w:uiPriority w:val="34"/>
    <w:qFormat/>
    <w:rsid w:val="00885B7A"/>
    <w:pPr>
      <w:ind w:left="720"/>
      <w:contextualSpacing/>
    </w:pPr>
  </w:style>
  <w:style w:type="character" w:styleId="Hyperlink">
    <w:name w:val="Hyperlink"/>
    <w:basedOn w:val="DefaultParagraphFont"/>
    <w:rsid w:val="00DB5F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el.mater@mediu.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</dc:creator>
  <cp:lastModifiedBy>User</cp:lastModifiedBy>
  <cp:revision>2</cp:revision>
  <dcterms:created xsi:type="dcterms:W3CDTF">2013-06-02T18:53:00Z</dcterms:created>
  <dcterms:modified xsi:type="dcterms:W3CDTF">2013-06-24T10:59:00Z</dcterms:modified>
</cp:coreProperties>
</file>