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2E" w:rsidRDefault="00DE2680" w:rsidP="00DE2680">
      <w:pPr>
        <w:jc w:val="center"/>
        <w:rPr>
          <w:sz w:val="52"/>
          <w:szCs w:val="52"/>
          <w:rtl/>
        </w:rPr>
      </w:pPr>
      <w:r w:rsidRPr="00DE2680">
        <w:rPr>
          <w:rFonts w:cs="AL-Mateen" w:hint="eastAsia"/>
          <w:sz w:val="52"/>
          <w:szCs w:val="52"/>
          <w:rtl/>
        </w:rPr>
        <w:t>خواتم</w:t>
      </w:r>
      <w:r w:rsidRPr="00DE2680">
        <w:rPr>
          <w:rFonts w:cs="AL-Mateen"/>
          <w:sz w:val="52"/>
          <w:szCs w:val="52"/>
          <w:rtl/>
        </w:rPr>
        <w:t xml:space="preserve"> </w:t>
      </w:r>
      <w:r w:rsidRPr="00DE2680">
        <w:rPr>
          <w:rFonts w:cs="AL-Mateen" w:hint="eastAsia"/>
          <w:sz w:val="52"/>
          <w:szCs w:val="52"/>
          <w:rtl/>
        </w:rPr>
        <w:t>السو</w:t>
      </w:r>
      <w:r w:rsidRPr="00DE2680">
        <w:rPr>
          <w:rFonts w:cs="AL-Mateen" w:hint="cs"/>
          <w:sz w:val="52"/>
          <w:szCs w:val="52"/>
          <w:rtl/>
        </w:rPr>
        <w:t>َ</w:t>
      </w:r>
      <w:r w:rsidRPr="00DE2680">
        <w:rPr>
          <w:rFonts w:cs="AL-Mateen" w:hint="eastAsia"/>
          <w:sz w:val="52"/>
          <w:szCs w:val="52"/>
          <w:rtl/>
        </w:rPr>
        <w:t>ر</w:t>
      </w:r>
    </w:p>
    <w:p w:rsidR="001E0B0F" w:rsidRPr="007E1CFD" w:rsidRDefault="001E0B0F" w:rsidP="001E0B0F">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1E0B0F" w:rsidRPr="002E515A" w:rsidRDefault="001E0B0F" w:rsidP="002E515A">
      <w:pPr>
        <w:pStyle w:val="Author"/>
        <w:bidi/>
        <w:rPr>
          <w:i/>
          <w:iCs/>
          <w:sz w:val="20"/>
          <w:szCs w:val="20"/>
          <w:lang w:eastAsia="zh-CN"/>
        </w:rPr>
      </w:pPr>
      <w:r w:rsidRPr="002E515A">
        <w:rPr>
          <w:rFonts w:hint="cs"/>
          <w:i/>
          <w:iCs/>
          <w:sz w:val="20"/>
          <w:szCs w:val="20"/>
          <w:rtl/>
          <w:lang w:eastAsia="zh-CN"/>
        </w:rPr>
        <w:t xml:space="preserve">إعداد / </w:t>
      </w:r>
      <w:r w:rsidR="002E515A" w:rsidRPr="002E515A">
        <w:rPr>
          <w:i/>
          <w:iCs/>
          <w:sz w:val="20"/>
          <w:szCs w:val="20"/>
          <w:rtl/>
          <w:lang w:eastAsia="zh-CN"/>
        </w:rPr>
        <w:t>شيماء عبد المجيد زهران</w:t>
      </w:r>
      <w:r w:rsidR="002E515A" w:rsidRPr="002E515A">
        <w:rPr>
          <w:rFonts w:hint="cs"/>
          <w:i/>
          <w:iCs/>
          <w:sz w:val="20"/>
          <w:szCs w:val="20"/>
          <w:rtl/>
          <w:lang w:eastAsia="zh-CN"/>
        </w:rPr>
        <w:t xml:space="preserve">  </w:t>
      </w:r>
    </w:p>
    <w:p w:rsidR="001E0B0F" w:rsidRPr="002E515A" w:rsidRDefault="001E0B0F" w:rsidP="001E0B0F">
      <w:pPr>
        <w:pStyle w:val="Affiliation"/>
        <w:bidi/>
        <w:rPr>
          <w:i/>
          <w:iCs/>
        </w:rPr>
      </w:pPr>
      <w:r>
        <w:rPr>
          <w:rFonts w:hint="cs"/>
          <w:i/>
          <w:iCs/>
          <w:rtl/>
        </w:rPr>
        <w:t>قسم الدعوة وأصول الدين</w:t>
      </w:r>
    </w:p>
    <w:p w:rsidR="001E0B0F" w:rsidRPr="002E515A" w:rsidRDefault="001E0B0F" w:rsidP="001E0B0F">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2E515A">
        <w:rPr>
          <w:i/>
          <w:iCs/>
        </w:rPr>
        <w:t xml:space="preserve"> </w:t>
      </w:r>
    </w:p>
    <w:p w:rsidR="001E0B0F" w:rsidRPr="002E515A" w:rsidRDefault="001E0B0F" w:rsidP="001E0B0F">
      <w:pPr>
        <w:pStyle w:val="Affiliation"/>
        <w:bidi/>
        <w:rPr>
          <w:i/>
          <w:iCs/>
          <w:rtl/>
        </w:rPr>
      </w:pPr>
      <w:r w:rsidRPr="002E515A">
        <w:rPr>
          <w:rFonts w:hint="cs"/>
          <w:i/>
          <w:iCs/>
          <w:rtl/>
        </w:rPr>
        <w:t>شاه علم - ماليزيا</w:t>
      </w:r>
    </w:p>
    <w:p w:rsidR="001E0B0F" w:rsidRPr="002E515A" w:rsidRDefault="002E515A" w:rsidP="002E515A">
      <w:pPr>
        <w:spacing w:line="240" w:lineRule="auto"/>
        <w:jc w:val="center"/>
        <w:rPr>
          <w:rFonts w:ascii="Times New Roman" w:eastAsia="SimSun" w:hAnsi="Times New Roman" w:cs="Times New Roman"/>
          <w:i/>
          <w:iCs/>
          <w:sz w:val="20"/>
          <w:szCs w:val="20"/>
          <w:rtl/>
          <w:lang w:eastAsia="zh-CN"/>
        </w:rPr>
        <w:sectPr w:rsidR="001E0B0F" w:rsidRPr="002E515A" w:rsidSect="005C15CC">
          <w:pgSz w:w="11906" w:h="16838"/>
          <w:pgMar w:top="1440" w:right="1440" w:bottom="1440" w:left="1440" w:header="720" w:footer="720" w:gutter="0"/>
          <w:cols w:space="720"/>
          <w:bidi/>
          <w:rtlGutter/>
          <w:docGrid w:linePitch="360"/>
        </w:sectPr>
      </w:pPr>
      <w:hyperlink r:id="rId5" w:history="1">
        <w:r w:rsidRPr="002E515A">
          <w:rPr>
            <w:rFonts w:ascii="Times New Roman" w:eastAsia="SimSun" w:hAnsi="Times New Roman" w:cs="Times New Roman"/>
            <w:i/>
            <w:iCs/>
            <w:sz w:val="20"/>
            <w:szCs w:val="20"/>
            <w:lang w:eastAsia="zh-CN"/>
          </w:rPr>
          <w:t>shaimaa.abdelmajeed@mediu.ws</w:t>
        </w:r>
      </w:hyperlink>
    </w:p>
    <w:p w:rsidR="001E0B0F" w:rsidRPr="001E0B0F" w:rsidRDefault="001E0B0F" w:rsidP="001E0B0F">
      <w:pPr>
        <w:spacing w:line="240" w:lineRule="auto"/>
        <w:rPr>
          <w:rFonts w:asciiTheme="majorBidi" w:hAnsiTheme="majorBidi" w:cstheme="majorBidi"/>
          <w:b/>
          <w:bCs/>
          <w:sz w:val="18"/>
          <w:szCs w:val="18"/>
          <w:rtl/>
        </w:rPr>
      </w:pPr>
      <w:r w:rsidRPr="001E0B0F">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خواتم السور</w:t>
      </w:r>
    </w:p>
    <w:p w:rsidR="001E0B0F" w:rsidRPr="001E0B0F" w:rsidRDefault="001E0B0F" w:rsidP="001E0B0F">
      <w:pPr>
        <w:spacing w:before="60" w:line="240" w:lineRule="auto"/>
        <w:rPr>
          <w:rFonts w:asciiTheme="majorBidi" w:eastAsia="Calibri" w:hAnsiTheme="majorBidi" w:cstheme="majorBidi"/>
          <w:b/>
          <w:bCs/>
          <w:sz w:val="18"/>
          <w:szCs w:val="18"/>
          <w:rtl/>
        </w:rPr>
      </w:pPr>
      <w:r w:rsidRPr="001E0B0F">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الفواتح</w:t>
      </w:r>
      <w:r w:rsidRPr="001E0B0F">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البديعة</w:t>
      </w:r>
      <w:r w:rsidRPr="001E0B0F">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وصايا</w:t>
      </w:r>
    </w:p>
    <w:p w:rsidR="001E0B0F" w:rsidRPr="001E0B0F" w:rsidRDefault="001E0B0F" w:rsidP="001E0B0F">
      <w:pPr>
        <w:pStyle w:val="ListParagraph"/>
        <w:numPr>
          <w:ilvl w:val="0"/>
          <w:numId w:val="2"/>
        </w:numPr>
        <w:spacing w:before="60" w:line="240" w:lineRule="auto"/>
        <w:ind w:left="1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1E0B0F">
        <w:rPr>
          <w:rFonts w:asciiTheme="majorBidi" w:hAnsiTheme="majorBidi" w:cstheme="majorBidi"/>
          <w:b/>
          <w:bCs/>
          <w:sz w:val="18"/>
          <w:szCs w:val="18"/>
          <w:rtl/>
        </w:rPr>
        <w:t>المقدمة</w:t>
      </w:r>
    </w:p>
    <w:p w:rsidR="001E0B0F" w:rsidRPr="001E0B0F" w:rsidRDefault="001E0B0F" w:rsidP="001E0B0F">
      <w:pPr>
        <w:spacing w:line="240" w:lineRule="auto"/>
        <w:rPr>
          <w:rFonts w:asciiTheme="majorBidi" w:hAnsiTheme="majorBidi" w:cstheme="majorBidi"/>
          <w:b/>
          <w:bCs/>
          <w:sz w:val="18"/>
          <w:szCs w:val="18"/>
          <w:rtl/>
        </w:rPr>
      </w:pPr>
      <w:r w:rsidRPr="001E0B0F">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خواتم السور</w:t>
      </w:r>
    </w:p>
    <w:p w:rsidR="001E0B0F" w:rsidRPr="001E0B0F" w:rsidRDefault="001E0B0F" w:rsidP="001E0B0F">
      <w:pPr>
        <w:pStyle w:val="ListParagraph"/>
        <w:numPr>
          <w:ilvl w:val="0"/>
          <w:numId w:val="3"/>
        </w:numPr>
        <w:spacing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1E0B0F">
        <w:rPr>
          <w:rFonts w:asciiTheme="majorBidi" w:hAnsiTheme="majorBidi" w:cstheme="majorBidi"/>
          <w:b/>
          <w:bCs/>
          <w:sz w:val="18"/>
          <w:szCs w:val="18"/>
          <w:rtl/>
        </w:rPr>
        <w:t>عنوان المقال</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وهى مثل الفواتح فى الحُسن، لأنها آخر ما يقرع الأسماع؛ فلهذا جاءت متضمنة للمعاني البديعة، مع إيذان السامع بانتهاء الكلام حتى يبقى معه للنفوس تشوّق إلى ما يذكر بعد. فهي بين أدعية، ووصايا، وفرائض، وتحميد، وتهليل، ومواعظ، ووعد ووعيد، إلى غير ذلك...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كالدعاء الذي اشتملت عليه الآيتان من آخر سورة (البقرة).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وكالوصايا التي خُتمت بها سورة (آل عمران).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والفرائض التي خُتمت بها سورة (النساء)، وحسُن الختم بها لما فيها من أحكام الموت الذي هو آخر أمر كل حي، ولأنها آخر ما أُنزل من الأحكام.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وكالتبجيل والتعظيم الذي خُتمت به (المائدة).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وكالوعد والوعيد الذي خُتمت به (الأنعام).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وكالتحريض على العبادة بوصف حال الملائكة الذي خُتمت به (الأعراف). </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وكالحض على الجهاد وصلة الأرحام الذي خُتم به (الأنفال).</w:t>
      </w:r>
    </w:p>
    <w:p w:rsidR="001E0B0F" w:rsidRPr="001E0B0F" w:rsidRDefault="001E0B0F" w:rsidP="001E0B0F">
      <w:pPr>
        <w:spacing w:after="120" w:line="240" w:lineRule="auto"/>
        <w:jc w:val="lowKashida"/>
        <w:rPr>
          <w:rFonts w:asciiTheme="majorBidi" w:hAnsiTheme="majorBidi" w:cstheme="majorBidi"/>
          <w:b/>
          <w:bCs/>
          <w:sz w:val="18"/>
          <w:szCs w:val="18"/>
          <w:rtl/>
        </w:rPr>
      </w:pPr>
      <w:r w:rsidRPr="001E0B0F">
        <w:rPr>
          <w:rFonts w:asciiTheme="majorBidi" w:hAnsiTheme="majorBidi" w:cstheme="majorBidi"/>
          <w:b/>
          <w:bCs/>
          <w:sz w:val="18"/>
          <w:szCs w:val="18"/>
          <w:rtl/>
        </w:rPr>
        <w:t xml:space="preserve">ونفس الأمر في أواخر ما نزل من القرآن جملة. </w:t>
      </w:r>
    </w:p>
    <w:p w:rsidR="001E0B0F" w:rsidRPr="001E0B0F" w:rsidRDefault="001E0B0F" w:rsidP="001E0B0F">
      <w:pPr>
        <w:spacing w:after="120" w:line="240" w:lineRule="auto"/>
        <w:jc w:val="lowKashida"/>
        <w:rPr>
          <w:rFonts w:asciiTheme="majorBidi" w:hAnsiTheme="majorBidi" w:cstheme="majorBidi"/>
          <w:b/>
          <w:bCs/>
          <w:spacing w:val="-8"/>
          <w:sz w:val="18"/>
          <w:szCs w:val="18"/>
          <w:rtl/>
        </w:rPr>
      </w:pPr>
      <w:r w:rsidRPr="001E0B0F">
        <w:rPr>
          <w:rFonts w:asciiTheme="majorBidi" w:hAnsiTheme="majorBidi" w:cstheme="majorBidi"/>
          <w:b/>
          <w:bCs/>
          <w:spacing w:val="-8"/>
          <w:sz w:val="18"/>
          <w:szCs w:val="18"/>
          <w:rtl/>
        </w:rPr>
        <w:t>فانظر براعة آخر آية نزلت وهي قوله: {</w:t>
      </w:r>
      <w:r w:rsidRPr="001E0B0F">
        <w:rPr>
          <w:rFonts w:asciiTheme="majorBidi" w:hAnsiTheme="majorBidi" w:cs="QCF_P047"/>
          <w:b/>
          <w:bCs/>
          <w:spacing w:val="-8"/>
          <w:sz w:val="18"/>
          <w:szCs w:val="18"/>
          <w:rtl/>
        </w:rPr>
        <w:t>ﯸ</w:t>
      </w:r>
      <w:r w:rsidRPr="001E0B0F">
        <w:rPr>
          <w:rFonts w:asciiTheme="majorBidi" w:hAnsiTheme="majorBidi" w:cstheme="majorBidi"/>
          <w:b/>
          <w:bCs/>
          <w:spacing w:val="-8"/>
          <w:sz w:val="18"/>
          <w:szCs w:val="18"/>
          <w:rtl/>
        </w:rPr>
        <w:t xml:space="preserve"> </w:t>
      </w:r>
      <w:r w:rsidRPr="001E0B0F">
        <w:rPr>
          <w:rFonts w:asciiTheme="majorBidi" w:hAnsiTheme="majorBidi" w:cs="QCF_P047"/>
          <w:b/>
          <w:bCs/>
          <w:spacing w:val="-8"/>
          <w:sz w:val="18"/>
          <w:szCs w:val="18"/>
          <w:rtl/>
        </w:rPr>
        <w:t>ﯹ</w:t>
      </w:r>
      <w:r w:rsidRPr="001E0B0F">
        <w:rPr>
          <w:rFonts w:asciiTheme="majorBidi" w:hAnsiTheme="majorBidi" w:cstheme="majorBidi"/>
          <w:b/>
          <w:bCs/>
          <w:spacing w:val="-8"/>
          <w:sz w:val="18"/>
          <w:szCs w:val="18"/>
          <w:rtl/>
        </w:rPr>
        <w:t xml:space="preserve"> </w:t>
      </w:r>
      <w:r w:rsidRPr="001E0B0F">
        <w:rPr>
          <w:rFonts w:asciiTheme="majorBidi" w:hAnsiTheme="majorBidi" w:cs="QCF_P047"/>
          <w:b/>
          <w:bCs/>
          <w:spacing w:val="-8"/>
          <w:sz w:val="18"/>
          <w:szCs w:val="18"/>
          <w:rtl/>
        </w:rPr>
        <w:t>ﯺ</w:t>
      </w:r>
      <w:r w:rsidRPr="001E0B0F">
        <w:rPr>
          <w:rFonts w:asciiTheme="majorBidi" w:hAnsiTheme="majorBidi" w:cstheme="majorBidi"/>
          <w:b/>
          <w:bCs/>
          <w:spacing w:val="-8"/>
          <w:sz w:val="18"/>
          <w:szCs w:val="18"/>
          <w:rtl/>
        </w:rPr>
        <w:t xml:space="preserve"> </w:t>
      </w:r>
      <w:r w:rsidRPr="001E0B0F">
        <w:rPr>
          <w:rFonts w:asciiTheme="majorBidi" w:hAnsiTheme="majorBidi" w:cs="QCF_P047"/>
          <w:b/>
          <w:bCs/>
          <w:spacing w:val="-8"/>
          <w:sz w:val="18"/>
          <w:szCs w:val="18"/>
          <w:rtl/>
        </w:rPr>
        <w:t>ﯻ</w:t>
      </w:r>
      <w:r w:rsidRPr="001E0B0F">
        <w:rPr>
          <w:rFonts w:asciiTheme="majorBidi" w:hAnsiTheme="majorBidi" w:cstheme="majorBidi"/>
          <w:b/>
          <w:bCs/>
          <w:spacing w:val="-8"/>
          <w:sz w:val="18"/>
          <w:szCs w:val="18"/>
          <w:rtl/>
        </w:rPr>
        <w:t xml:space="preserve"> ﯼ ﯽ} [البقرة: 281]، وما فيها من الإشعار بالآخرية المستلزمة للوفاة.</w:t>
      </w:r>
    </w:p>
    <w:p w:rsidR="00DE2680" w:rsidRPr="001E0B0F" w:rsidRDefault="001E0B0F" w:rsidP="001E0B0F">
      <w:pPr>
        <w:spacing w:line="240" w:lineRule="auto"/>
        <w:rPr>
          <w:rFonts w:asciiTheme="majorBidi" w:hAnsiTheme="majorBidi" w:cstheme="majorBidi"/>
          <w:b/>
          <w:bCs/>
          <w:sz w:val="18"/>
          <w:szCs w:val="18"/>
          <w:rtl/>
        </w:rPr>
      </w:pPr>
      <w:r w:rsidRPr="001E0B0F">
        <w:rPr>
          <w:rFonts w:asciiTheme="majorBidi" w:hAnsiTheme="majorBidi" w:cstheme="majorBidi"/>
          <w:b/>
          <w:bCs/>
          <w:sz w:val="18"/>
          <w:szCs w:val="18"/>
          <w:rtl/>
        </w:rPr>
        <w:t>وكذلك آخر سورة نزلت، وهي سورة (النصر)، فيها الإشعار بالوفاة، كما أخرجه البخاري عن ابن عباس.</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 xml:space="preserve">(الإتقان في علوم القرآن) </w:t>
      </w:r>
    </w:p>
    <w:p w:rsidR="001E0B0F" w:rsidRPr="001E0B0F" w:rsidRDefault="001E0B0F" w:rsidP="001E0B0F">
      <w:pPr>
        <w:spacing w:after="120" w:line="240" w:lineRule="auto"/>
        <w:ind w:left="363" w:hanging="79"/>
        <w:jc w:val="both"/>
        <w:rPr>
          <w:rFonts w:asciiTheme="majorBidi" w:hAnsiTheme="majorBidi" w:cstheme="majorBidi"/>
          <w:b/>
          <w:bCs/>
          <w:sz w:val="18"/>
          <w:szCs w:val="18"/>
        </w:rPr>
      </w:pPr>
      <w:r w:rsidRPr="001E0B0F">
        <w:rPr>
          <w:rFonts w:asciiTheme="majorBidi" w:hAnsiTheme="majorBidi" w:cstheme="majorBidi"/>
          <w:b/>
          <w:bCs/>
          <w:sz w:val="18"/>
          <w:szCs w:val="18"/>
          <w:rtl/>
        </w:rPr>
        <w:t>أبو بكر عبد الرحمن بن الكمال السيوطي, الهيئة المصرية العامة للكتاب، 1974م.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(إعجاز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Pr>
      </w:pPr>
      <w:r w:rsidRPr="001E0B0F">
        <w:rPr>
          <w:rFonts w:asciiTheme="majorBidi" w:hAnsiTheme="majorBidi" w:cstheme="majorBidi"/>
          <w:b/>
          <w:bCs/>
          <w:sz w:val="18"/>
          <w:szCs w:val="18"/>
          <w:rtl/>
        </w:rPr>
        <w:t>أبو بكر بن الطيب الباقلاني، تحقيق: عماد الدين حيدر، مؤسسة الكتب الثقافية، 1991م.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(البرهان في علوم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lang w:eastAsia="ar-SA"/>
        </w:rPr>
        <w:t>محمد بن بهادر بن عبد الله</w:t>
      </w:r>
      <w:r w:rsidRPr="001E0B0F">
        <w:rPr>
          <w:rFonts w:asciiTheme="majorBidi" w:hAnsiTheme="majorBidi" w:cstheme="majorBidi"/>
          <w:b/>
          <w:bCs/>
          <w:sz w:val="18"/>
          <w:szCs w:val="18"/>
          <w:rtl/>
        </w:rPr>
        <w:t xml:space="preserve"> الزركشي، دار الكتب العلمية، 2001م.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(التعريفات)</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علي محمد الجرجاني، دار الكتاب المصري، 1991م.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(التوقيف على مهمات التعاريف)</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lastRenderedPageBreak/>
        <w:t>محمد عبد الرؤوف المناوي، عالم الكتب، 1990م.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(صحيح البخاري مع شرحه فتح الباري)</w:t>
      </w:r>
    </w:p>
    <w:p w:rsidR="001E0B0F" w:rsidRPr="001E0B0F" w:rsidRDefault="001E0B0F" w:rsidP="001E0B0F">
      <w:pPr>
        <w:spacing w:after="120" w:line="240" w:lineRule="auto"/>
        <w:ind w:left="363" w:hanging="79"/>
        <w:jc w:val="both"/>
        <w:rPr>
          <w:rFonts w:asciiTheme="majorBidi" w:hAnsiTheme="majorBidi" w:cstheme="majorBidi"/>
          <w:b/>
          <w:bCs/>
          <w:sz w:val="18"/>
          <w:szCs w:val="18"/>
        </w:rPr>
      </w:pPr>
      <w:r w:rsidRPr="001E0B0F">
        <w:rPr>
          <w:rFonts w:asciiTheme="majorBidi" w:hAnsiTheme="majorBidi" w:cstheme="majorBidi"/>
          <w:b/>
          <w:bCs/>
          <w:sz w:val="18"/>
          <w:szCs w:val="18"/>
          <w:rtl/>
        </w:rPr>
        <w:t>ابن حجر العسقلاني، دار الكتب العلمية، 1997م.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(العجاب في بيان الأسباب)</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 xml:space="preserve">ابن حجر العسقلاني، دار ابن الجوزي، 1997م. </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(فضائل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أحمد بن شعيب النسائي، مؤسسة الكتب الثقافية، 1985م.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(فيض القدير شرح الجامع الصغير)</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محمد بن عبد الرؤوف المناوي، دار المعرفة، 1980م.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(السبعة في القراءات)</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أحمد بن موسى بن مجاهد، دار المعارف، 1988م.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(لسان العرب)</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محمد بن مكرم بن منظور، طبعة دار إحياء التراث العربي، 1999م.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(مباحث في علوم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صبحي الصالح، دار العلم للملايين، 2002م.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(مباحث في علوم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مناع خليل القطان، مؤسسة الرسالة للطباعة والنشر والتوزيع، 2000م.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(المستدرك على الصحيحين)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محمد بن عبد الله الحاكم النيسابوري، دار الكتب العلمية، 1990م.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(مناهل العرفان)</w:t>
      </w:r>
    </w:p>
    <w:p w:rsidR="001E0B0F" w:rsidRPr="001E0B0F" w:rsidRDefault="001E0B0F" w:rsidP="001E0B0F">
      <w:pPr>
        <w:spacing w:after="120" w:line="240" w:lineRule="auto"/>
        <w:ind w:left="363" w:hanging="79"/>
        <w:jc w:val="both"/>
        <w:rPr>
          <w:rFonts w:asciiTheme="majorBidi" w:hAnsiTheme="majorBidi" w:cstheme="majorBidi"/>
          <w:b/>
          <w:bCs/>
          <w:sz w:val="18"/>
          <w:szCs w:val="18"/>
        </w:rPr>
      </w:pPr>
      <w:r w:rsidRPr="001E0B0F">
        <w:rPr>
          <w:rFonts w:asciiTheme="majorBidi" w:hAnsiTheme="majorBidi" w:cstheme="majorBidi"/>
          <w:b/>
          <w:bCs/>
          <w:sz w:val="18"/>
          <w:szCs w:val="18"/>
          <w:rtl/>
        </w:rPr>
        <w:t>محمد بن عبد العظيم الزرقاني، دار الكتب العلمية، 2003م.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(التبيان في تفسير غريب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شهاب الدين أحمد بن محمد الهائم المصري، المكتبة المحمودية، 1960م.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(دلائل الإعجاز)</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عبد القاهر الجرجاني، دار الكتب العلمية، 1988م.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(فهم القرآن)</w:t>
      </w:r>
    </w:p>
    <w:p w:rsidR="001E0B0F" w:rsidRPr="001E0B0F" w:rsidRDefault="001E0B0F" w:rsidP="001E0B0F">
      <w:pPr>
        <w:spacing w:after="120" w:line="240" w:lineRule="auto"/>
        <w:ind w:left="363" w:hanging="79"/>
        <w:jc w:val="both"/>
        <w:rPr>
          <w:rFonts w:asciiTheme="majorBidi" w:hAnsiTheme="majorBidi" w:cstheme="majorBidi"/>
          <w:b/>
          <w:bCs/>
          <w:sz w:val="18"/>
          <w:szCs w:val="18"/>
          <w:rtl/>
        </w:rPr>
      </w:pPr>
      <w:r w:rsidRPr="001E0B0F">
        <w:rPr>
          <w:rFonts w:asciiTheme="majorBidi" w:hAnsiTheme="majorBidi" w:cstheme="majorBidi"/>
          <w:b/>
          <w:bCs/>
          <w:sz w:val="18"/>
          <w:szCs w:val="18"/>
          <w:rtl/>
        </w:rPr>
        <w:t>الحارث بن أسد المحاسبي، دار الكندي للطباعة والنشر، 1982م.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Pr>
      </w:pPr>
      <w:r w:rsidRPr="001E0B0F">
        <w:rPr>
          <w:rFonts w:asciiTheme="majorBidi" w:hAnsiTheme="majorBidi" w:cstheme="majorBidi"/>
          <w:b/>
          <w:bCs/>
          <w:sz w:val="18"/>
          <w:szCs w:val="18"/>
          <w:rtl/>
        </w:rPr>
        <w:t>(نفائس البيان شرح الفرائد الحسان في عد آي القرآن)</w:t>
      </w:r>
    </w:p>
    <w:p w:rsidR="001E0B0F" w:rsidRPr="001E0B0F" w:rsidRDefault="001E0B0F" w:rsidP="001E0B0F">
      <w:pPr>
        <w:spacing w:after="120" w:line="240" w:lineRule="auto"/>
        <w:ind w:left="363" w:hanging="79"/>
        <w:jc w:val="lowKashida"/>
        <w:rPr>
          <w:rFonts w:asciiTheme="majorBidi" w:hAnsiTheme="majorBidi" w:cstheme="majorBidi"/>
          <w:b/>
          <w:bCs/>
          <w:sz w:val="18"/>
          <w:szCs w:val="18"/>
        </w:rPr>
      </w:pPr>
      <w:r w:rsidRPr="001E0B0F">
        <w:rPr>
          <w:rFonts w:asciiTheme="majorBidi" w:hAnsiTheme="majorBidi" w:cstheme="majorBidi"/>
          <w:b/>
          <w:bCs/>
          <w:sz w:val="18"/>
          <w:szCs w:val="18"/>
          <w:rtl/>
        </w:rPr>
        <w:t>الشيخ عبد الفتاح القاضي، مطبعة عيسى البابي الحلبي، ١٣٥٥هـ.</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(الأصلان في علوم القرآن)</w:t>
      </w:r>
    </w:p>
    <w:p w:rsidR="001E0B0F" w:rsidRPr="001E0B0F" w:rsidRDefault="001E0B0F" w:rsidP="001E0B0F">
      <w:pPr>
        <w:spacing w:after="120" w:line="240" w:lineRule="auto"/>
        <w:ind w:left="363" w:hanging="79"/>
        <w:jc w:val="lowKashida"/>
        <w:rPr>
          <w:rFonts w:asciiTheme="majorBidi" w:hAnsiTheme="majorBidi" w:cstheme="majorBidi"/>
          <w:b/>
          <w:bCs/>
          <w:sz w:val="18"/>
          <w:szCs w:val="18"/>
        </w:rPr>
      </w:pPr>
      <w:r w:rsidRPr="001E0B0F">
        <w:rPr>
          <w:rFonts w:asciiTheme="majorBidi" w:hAnsiTheme="majorBidi" w:cstheme="majorBidi"/>
          <w:b/>
          <w:bCs/>
          <w:sz w:val="18"/>
          <w:szCs w:val="18"/>
          <w:rtl/>
        </w:rPr>
        <w:t>محمد عبد المنعم القيعي، طبعة المكتبات الأزهرية، ١٩٨٠م.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Pr>
      </w:pPr>
      <w:r w:rsidRPr="001E0B0F">
        <w:rPr>
          <w:rFonts w:asciiTheme="majorBidi" w:hAnsiTheme="majorBidi" w:cstheme="majorBidi"/>
          <w:b/>
          <w:bCs/>
          <w:sz w:val="18"/>
          <w:szCs w:val="18"/>
          <w:rtl/>
        </w:rPr>
        <w:t>(مختصر في قواعد التفسير)</w:t>
      </w:r>
    </w:p>
    <w:p w:rsidR="001E0B0F" w:rsidRPr="001E0B0F" w:rsidRDefault="001E0B0F" w:rsidP="001E0B0F">
      <w:pPr>
        <w:spacing w:after="120" w:line="240" w:lineRule="auto"/>
        <w:ind w:left="363" w:hanging="79"/>
        <w:jc w:val="lowKashida"/>
        <w:rPr>
          <w:rFonts w:asciiTheme="majorBidi" w:hAnsiTheme="majorBidi" w:cstheme="majorBidi"/>
          <w:b/>
          <w:bCs/>
          <w:sz w:val="18"/>
          <w:szCs w:val="18"/>
        </w:rPr>
      </w:pPr>
      <w:r w:rsidRPr="001E0B0F">
        <w:rPr>
          <w:rFonts w:asciiTheme="majorBidi" w:hAnsiTheme="majorBidi" w:cstheme="majorBidi"/>
          <w:b/>
          <w:bCs/>
          <w:sz w:val="18"/>
          <w:szCs w:val="18"/>
          <w:rtl/>
        </w:rPr>
        <w:lastRenderedPageBreak/>
        <w:t>خالد السبت، مطبعة ابن الجوزي، ١٤٢٣هـ.</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Pr>
      </w:pPr>
      <w:r w:rsidRPr="001E0B0F">
        <w:rPr>
          <w:rFonts w:asciiTheme="majorBidi" w:hAnsiTheme="majorBidi" w:cstheme="majorBidi"/>
          <w:b/>
          <w:bCs/>
          <w:sz w:val="18"/>
          <w:szCs w:val="18"/>
          <w:rtl/>
        </w:rPr>
        <w:t>(الصحيح المسند من أسباب النزول)</w:t>
      </w:r>
    </w:p>
    <w:p w:rsidR="001E0B0F" w:rsidRPr="001E0B0F" w:rsidRDefault="001E0B0F" w:rsidP="001E0B0F">
      <w:pPr>
        <w:spacing w:after="120" w:line="240" w:lineRule="auto"/>
        <w:ind w:left="363" w:hanging="79"/>
        <w:jc w:val="lowKashida"/>
        <w:rPr>
          <w:rFonts w:asciiTheme="majorBidi" w:hAnsiTheme="majorBidi" w:cstheme="majorBidi"/>
          <w:b/>
          <w:bCs/>
          <w:sz w:val="18"/>
          <w:szCs w:val="18"/>
          <w:rtl/>
        </w:rPr>
      </w:pPr>
      <w:r w:rsidRPr="001E0B0F">
        <w:rPr>
          <w:rFonts w:asciiTheme="majorBidi" w:hAnsiTheme="majorBidi" w:cstheme="majorBidi"/>
          <w:b/>
          <w:bCs/>
          <w:sz w:val="18"/>
          <w:szCs w:val="18"/>
          <w:rtl/>
        </w:rPr>
        <w:t>مقبل بن هادي الوادعي، الرياض،  مكتبة المعارف، 1400هـ.</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(موسوعة فضائل سور وآيات القرآن)</w:t>
      </w:r>
    </w:p>
    <w:p w:rsidR="001E0B0F" w:rsidRPr="001E0B0F" w:rsidRDefault="001E0B0F" w:rsidP="001E0B0F">
      <w:pPr>
        <w:spacing w:after="120" w:line="240" w:lineRule="auto"/>
        <w:ind w:left="363" w:hanging="79"/>
        <w:jc w:val="lowKashida"/>
        <w:rPr>
          <w:rFonts w:asciiTheme="majorBidi" w:hAnsiTheme="majorBidi" w:cstheme="majorBidi"/>
          <w:b/>
          <w:bCs/>
          <w:sz w:val="18"/>
          <w:szCs w:val="18"/>
          <w:rtl/>
        </w:rPr>
      </w:pPr>
      <w:r w:rsidRPr="001E0B0F">
        <w:rPr>
          <w:rFonts w:asciiTheme="majorBidi" w:hAnsiTheme="majorBidi" w:cstheme="majorBidi"/>
          <w:b/>
          <w:bCs/>
          <w:sz w:val="18"/>
          <w:szCs w:val="18"/>
          <w:rtl/>
        </w:rPr>
        <w:t>محمد بن رزق الطرهوني، مكتبة العلم، 1994م.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lastRenderedPageBreak/>
        <w:t>(سنن القرّاء ومناهج المجوّدين)</w:t>
      </w:r>
    </w:p>
    <w:p w:rsidR="001E0B0F" w:rsidRPr="001E0B0F" w:rsidRDefault="001E0B0F" w:rsidP="001E0B0F">
      <w:pPr>
        <w:spacing w:after="120" w:line="240" w:lineRule="auto"/>
        <w:ind w:left="363" w:hanging="79"/>
        <w:jc w:val="lowKashida"/>
        <w:rPr>
          <w:rFonts w:asciiTheme="majorBidi" w:hAnsiTheme="majorBidi" w:cstheme="majorBidi"/>
          <w:b/>
          <w:bCs/>
          <w:sz w:val="18"/>
          <w:szCs w:val="18"/>
        </w:rPr>
      </w:pPr>
      <w:r w:rsidRPr="001E0B0F">
        <w:rPr>
          <w:rFonts w:asciiTheme="majorBidi" w:hAnsiTheme="majorBidi" w:cstheme="majorBidi"/>
          <w:b/>
          <w:bCs/>
          <w:sz w:val="18"/>
          <w:szCs w:val="18"/>
          <w:rtl/>
        </w:rPr>
        <w:t>عبد العزيز القارئ، مكتبة الدار للنشر والتوزيع، 2000م.</w:t>
      </w:r>
    </w:p>
    <w:p w:rsidR="001E0B0F" w:rsidRPr="001E0B0F" w:rsidRDefault="001E0B0F" w:rsidP="001E0B0F">
      <w:pPr>
        <w:widowControl w:val="0"/>
        <w:numPr>
          <w:ilvl w:val="0"/>
          <w:numId w:val="1"/>
        </w:numPr>
        <w:spacing w:after="120" w:line="240" w:lineRule="auto"/>
        <w:ind w:left="363"/>
        <w:jc w:val="both"/>
        <w:rPr>
          <w:rFonts w:asciiTheme="majorBidi" w:hAnsiTheme="majorBidi" w:cstheme="majorBidi"/>
          <w:b/>
          <w:bCs/>
          <w:sz w:val="18"/>
          <w:szCs w:val="18"/>
          <w:rtl/>
        </w:rPr>
      </w:pPr>
      <w:r w:rsidRPr="001E0B0F">
        <w:rPr>
          <w:rFonts w:asciiTheme="majorBidi" w:hAnsiTheme="majorBidi" w:cstheme="majorBidi"/>
          <w:b/>
          <w:bCs/>
          <w:sz w:val="18"/>
          <w:szCs w:val="18"/>
          <w:rtl/>
        </w:rPr>
        <w:t>(النشر في القراءات العشر)</w:t>
      </w:r>
    </w:p>
    <w:p w:rsidR="001E0B0F" w:rsidRDefault="001E0B0F" w:rsidP="001E0B0F">
      <w:pPr>
        <w:spacing w:line="240" w:lineRule="auto"/>
        <w:jc w:val="both"/>
        <w:rPr>
          <w:rFonts w:asciiTheme="majorBidi" w:hAnsiTheme="majorBidi" w:cstheme="majorBidi"/>
          <w:b/>
          <w:bCs/>
          <w:sz w:val="18"/>
          <w:szCs w:val="18"/>
          <w:rtl/>
        </w:rPr>
        <w:sectPr w:rsidR="001E0B0F" w:rsidSect="001E0B0F">
          <w:type w:val="continuous"/>
          <w:pgSz w:w="11906" w:h="16838"/>
          <w:pgMar w:top="1440" w:right="1440" w:bottom="1440" w:left="1440" w:header="720" w:footer="720" w:gutter="0"/>
          <w:cols w:num="2" w:space="720"/>
          <w:bidi/>
          <w:rtlGutter/>
          <w:docGrid w:linePitch="360"/>
        </w:sectPr>
      </w:pPr>
      <w:r w:rsidRPr="001E0B0F">
        <w:rPr>
          <w:rFonts w:asciiTheme="majorBidi" w:hAnsiTheme="majorBidi" w:cstheme="majorBidi"/>
          <w:b/>
          <w:bCs/>
          <w:sz w:val="18"/>
          <w:szCs w:val="18"/>
          <w:rtl/>
        </w:rPr>
        <w:t>محمد بن الجزري، المكتبة التجارية الكبرى، 1970م</w:t>
      </w:r>
    </w:p>
    <w:p w:rsidR="001E0B0F" w:rsidRPr="00C36534" w:rsidRDefault="001E0B0F" w:rsidP="001E0B0F">
      <w:pPr>
        <w:spacing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lastRenderedPageBreak/>
        <w:t>.</w:t>
      </w:r>
    </w:p>
    <w:p w:rsidR="001E0B0F" w:rsidRPr="00DE2680" w:rsidRDefault="001E0B0F" w:rsidP="001E0B0F">
      <w:pPr>
        <w:rPr>
          <w:sz w:val="52"/>
          <w:szCs w:val="52"/>
        </w:rPr>
      </w:pPr>
    </w:p>
    <w:sectPr w:rsidR="001E0B0F" w:rsidRPr="00DE2680" w:rsidSect="001E0B0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QCF_P04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5A0719B0"/>
    <w:multiLevelType w:val="hybridMultilevel"/>
    <w:tmpl w:val="52364F76"/>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
    <w:nsid w:val="72C94F03"/>
    <w:multiLevelType w:val="hybridMultilevel"/>
    <w:tmpl w:val="C0A893CE"/>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DE2680"/>
    <w:rsid w:val="001E0B0F"/>
    <w:rsid w:val="00272C2E"/>
    <w:rsid w:val="002E515A"/>
    <w:rsid w:val="005C15CC"/>
    <w:rsid w:val="00776A84"/>
    <w:rsid w:val="00DE26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1E0B0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E0B0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1E0B0F"/>
    <w:pPr>
      <w:ind w:left="720"/>
      <w:contextualSpacing/>
    </w:pPr>
  </w:style>
  <w:style w:type="character" w:styleId="Hyperlink">
    <w:name w:val="Hyperlink"/>
    <w:basedOn w:val="DefaultParagraphFont"/>
    <w:rsid w:val="002E51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maa.abdelmaje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2013-06-05T22:39:00Z</dcterms:created>
  <dcterms:modified xsi:type="dcterms:W3CDTF">2013-06-24T10:46:00Z</dcterms:modified>
</cp:coreProperties>
</file>