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C92F68" w:rsidRDefault="008A282C" w:rsidP="00FB2E31">
      <w:pPr>
        <w:spacing w:line="240" w:lineRule="auto"/>
        <w:jc w:val="center"/>
        <w:rPr>
          <w:rFonts w:asciiTheme="majorBidi" w:eastAsia="Calibri" w:hAnsiTheme="majorBidi" w:cstheme="majorBidi"/>
          <w:i/>
          <w:iCs/>
          <w:sz w:val="48"/>
          <w:szCs w:val="48"/>
          <w:rtl/>
        </w:rPr>
      </w:pPr>
      <w:r w:rsidRPr="008A282C">
        <w:rPr>
          <w:rFonts w:asciiTheme="majorBidi" w:eastAsia="Calibri" w:hAnsiTheme="majorBidi" w:cstheme="majorBidi"/>
          <w:i/>
          <w:iCs/>
          <w:sz w:val="48"/>
          <w:szCs w:val="48"/>
          <w:rtl/>
        </w:rPr>
        <w:t>ادعاء أن النبي</w:t>
      </w:r>
      <w:r w:rsidRPr="00C92F68">
        <w:rPr>
          <w:rFonts w:asciiTheme="majorBidi" w:eastAsia="Calibri" w:hAnsiTheme="majorBidi" w:cstheme="majorBidi"/>
          <w:i/>
          <w:iCs/>
          <w:sz w:val="48"/>
          <w:szCs w:val="48"/>
          <w:rtl/>
        </w:rPr>
        <w:t xml:space="preserve"> </w:t>
      </w:r>
      <w:r w:rsidR="00FB2E31" w:rsidRPr="00C92F68">
        <w:rPr>
          <w:rFonts w:asciiTheme="majorBidi" w:eastAsia="Calibri" w:hAnsiTheme="majorBidi" w:cstheme="majorBidi" w:hint="cs"/>
          <w:i/>
          <w:iCs/>
          <w:sz w:val="48"/>
          <w:szCs w:val="48"/>
          <w:rtl/>
        </w:rPr>
        <w:t>صلى الله عليه وسلم</w:t>
      </w:r>
      <w:r w:rsidRPr="00C92F68">
        <w:rPr>
          <w:rFonts w:asciiTheme="majorBidi" w:eastAsia="Calibri" w:hAnsiTheme="majorBidi" w:cstheme="majorBidi"/>
          <w:i/>
          <w:iCs/>
          <w:sz w:val="48"/>
          <w:szCs w:val="48"/>
          <w:rtl/>
        </w:rPr>
        <w:t xml:space="preserve"> </w:t>
      </w:r>
      <w:r w:rsidRPr="008A282C">
        <w:rPr>
          <w:rFonts w:asciiTheme="majorBidi" w:eastAsia="Calibri" w:hAnsiTheme="majorBidi" w:cstheme="majorBidi"/>
          <w:i/>
          <w:iCs/>
          <w:sz w:val="48"/>
          <w:szCs w:val="48"/>
          <w:rtl/>
        </w:rPr>
        <w:t>قد نقل القرآن من غيره</w:t>
      </w:r>
    </w:p>
    <w:p w:rsidR="00FB2E31" w:rsidRDefault="00FB2E31" w:rsidP="00FB2E31">
      <w:pPr>
        <w:pStyle w:val="papersubtitle"/>
        <w:bidi/>
        <w:rPr>
          <w:i/>
          <w:iCs/>
        </w:rPr>
      </w:pPr>
      <w:r>
        <w:rPr>
          <w:rFonts w:hint="cs"/>
          <w:i/>
          <w:iCs/>
          <w:rtl/>
        </w:rPr>
        <w:t>بحث  فى دفاع عن القراَن</w:t>
      </w:r>
    </w:p>
    <w:p w:rsidR="00FB2E31" w:rsidRDefault="00FB2E31" w:rsidP="00FB2E31">
      <w:pPr>
        <w:pStyle w:val="papersubtitle"/>
        <w:bidi/>
        <w:rPr>
          <w:rFonts w:hint="cs"/>
          <w:i/>
          <w:iCs/>
          <w:sz w:val="24"/>
          <w:szCs w:val="24"/>
          <w:rtl/>
        </w:rPr>
      </w:pPr>
      <w:r>
        <w:rPr>
          <w:rFonts w:hint="cs"/>
          <w:i/>
          <w:iCs/>
          <w:sz w:val="24"/>
          <w:szCs w:val="24"/>
          <w:rtl/>
        </w:rPr>
        <w:t>إعداد أ/ أيمن محمد أبوبكر</w:t>
      </w:r>
    </w:p>
    <w:p w:rsidR="00FB2E31" w:rsidRDefault="00FB2E31" w:rsidP="00FB2E31">
      <w:pPr>
        <w:pStyle w:val="papersubtitle"/>
        <w:bidi/>
        <w:rPr>
          <w:i/>
          <w:iCs/>
          <w:sz w:val="22"/>
          <w:szCs w:val="22"/>
        </w:rPr>
      </w:pPr>
      <w:r>
        <w:rPr>
          <w:rFonts w:hint="cs"/>
          <w:i/>
          <w:iCs/>
          <w:sz w:val="22"/>
          <w:szCs w:val="22"/>
          <w:rtl/>
        </w:rPr>
        <w:t>قسم التفسير وعلوم القراَن</w:t>
      </w:r>
    </w:p>
    <w:p w:rsidR="00FB2E31" w:rsidRDefault="00FB2E31" w:rsidP="00FB2E31">
      <w:pPr>
        <w:pStyle w:val="papersubtitle"/>
        <w:bidi/>
        <w:rPr>
          <w:i/>
          <w:iCs/>
          <w:sz w:val="22"/>
          <w:szCs w:val="22"/>
        </w:rPr>
      </w:pPr>
      <w:r>
        <w:rPr>
          <w:rFonts w:hint="cs"/>
          <w:i/>
          <w:iCs/>
          <w:sz w:val="22"/>
          <w:szCs w:val="22"/>
          <w:rtl/>
        </w:rPr>
        <w:t>كلية العلوم الإسلامية – جامعة المدينة العالمية</w:t>
      </w:r>
    </w:p>
    <w:p w:rsidR="00FB2E31" w:rsidRDefault="00FB2E31" w:rsidP="00FB2E31">
      <w:pPr>
        <w:pStyle w:val="papersubtitle"/>
        <w:bidi/>
        <w:rPr>
          <w:i/>
          <w:iCs/>
          <w:sz w:val="22"/>
          <w:szCs w:val="22"/>
        </w:rPr>
      </w:pPr>
      <w:r>
        <w:rPr>
          <w:rFonts w:hint="cs"/>
          <w:i/>
          <w:iCs/>
          <w:sz w:val="22"/>
          <w:szCs w:val="22"/>
          <w:rtl/>
        </w:rPr>
        <w:t>شاه علم – ماليزيا</w:t>
      </w:r>
    </w:p>
    <w:p w:rsidR="00FB2E31" w:rsidRDefault="00FB2E31" w:rsidP="00FB2E31">
      <w:pPr>
        <w:spacing w:after="120"/>
        <w:jc w:val="center"/>
        <w:rPr>
          <w:rFonts w:asciiTheme="majorBidi" w:hAnsiTheme="majorBidi" w:cstheme="majorBidi" w:hint="cs"/>
          <w:b/>
          <w:bCs/>
          <w:sz w:val="20"/>
          <w:szCs w:val="20"/>
          <w:rtl/>
        </w:rPr>
      </w:pPr>
      <w:r>
        <w:rPr>
          <w:rFonts w:asciiTheme="majorBidi" w:hAnsiTheme="majorBidi" w:cs="AL-Hotham"/>
          <w:i/>
          <w:iCs/>
        </w:rPr>
        <w:t>ayman.abobakr@mediu.ws</w:t>
      </w:r>
    </w:p>
    <w:p w:rsidR="008A282C" w:rsidRDefault="008A282C" w:rsidP="008A282C">
      <w:pPr>
        <w:spacing w:line="240" w:lineRule="auto"/>
        <w:jc w:val="center"/>
        <w:rPr>
          <w:rFonts w:ascii="Calibri" w:hAnsi="Calibri" w:cs="AL-Mateen"/>
          <w:sz w:val="32"/>
          <w:szCs w:val="32"/>
        </w:rPr>
      </w:pPr>
    </w:p>
    <w:p w:rsidR="008A282C" w:rsidRDefault="008A282C" w:rsidP="008A282C">
      <w:pPr>
        <w:spacing w:after="120" w:line="240" w:lineRule="auto"/>
        <w:rPr>
          <w:rFonts w:asciiTheme="majorBidi" w:hAnsiTheme="majorBidi" w:cstheme="majorBidi"/>
          <w:b/>
          <w:bCs/>
          <w:sz w:val="20"/>
          <w:szCs w:val="20"/>
          <w:rtl/>
        </w:rPr>
        <w:sectPr w:rsidR="008A282C" w:rsidSect="00BF7572">
          <w:pgSz w:w="11906" w:h="16838"/>
          <w:pgMar w:top="964" w:right="1021" w:bottom="964" w:left="1021" w:header="709" w:footer="709" w:gutter="0"/>
          <w:cols w:space="708"/>
          <w:bidi/>
          <w:rtlGutter/>
          <w:docGrid w:linePitch="360"/>
        </w:sectPr>
      </w:pPr>
    </w:p>
    <w:p w:rsidR="008A282C" w:rsidRPr="008A282C" w:rsidRDefault="008A282C" w:rsidP="008A282C">
      <w:pPr>
        <w:spacing w:after="120" w:line="240" w:lineRule="auto"/>
        <w:rPr>
          <w:rFonts w:asciiTheme="majorBidi" w:hAnsiTheme="majorBidi" w:cstheme="majorBidi"/>
          <w:b/>
          <w:bCs/>
          <w:sz w:val="20"/>
          <w:szCs w:val="20"/>
          <w:rtl/>
        </w:rPr>
      </w:pPr>
      <w:r w:rsidRPr="008A282C">
        <w:rPr>
          <w:rFonts w:asciiTheme="majorBidi" w:hAnsiTheme="majorBidi" w:cstheme="majorBidi"/>
          <w:b/>
          <w:bCs/>
          <w:sz w:val="20"/>
          <w:szCs w:val="20"/>
          <w:rtl/>
        </w:rPr>
        <w:lastRenderedPageBreak/>
        <w:t xml:space="preserve">خلاصة ـــ هذا البحث يبحث في </w:t>
      </w:r>
      <w:r w:rsidRPr="008A282C">
        <w:rPr>
          <w:rFonts w:asciiTheme="majorBidi" w:eastAsia="Calibri" w:hAnsiTheme="majorBidi" w:cstheme="majorBidi"/>
          <w:b/>
          <w:bCs/>
          <w:sz w:val="20"/>
          <w:szCs w:val="20"/>
          <w:rtl/>
        </w:rPr>
        <w:t xml:space="preserve">ادعاء أن النبي </w:t>
      </w:r>
      <w:r w:rsidR="00787A59">
        <w:rPr>
          <w:rFonts w:asciiTheme="majorBidi" w:eastAsia="Calibri" w:hAnsiTheme="majorBidi" w:cstheme="majorBidi"/>
          <w:b/>
          <w:bCs/>
          <w:position w:val="-4"/>
          <w:sz w:val="20"/>
          <w:szCs w:val="20"/>
          <w:rtl/>
        </w:rPr>
        <w:t>صلى الله عليه وسلم</w:t>
      </w:r>
      <w:r w:rsidRPr="008A282C">
        <w:rPr>
          <w:rFonts w:asciiTheme="majorBidi" w:eastAsia="Calibri" w:hAnsiTheme="majorBidi" w:cstheme="majorBidi"/>
          <w:b/>
          <w:bCs/>
          <w:sz w:val="20"/>
          <w:szCs w:val="20"/>
          <w:rtl/>
        </w:rPr>
        <w:t xml:space="preserve"> قد نقل القرآن من غيره</w:t>
      </w:r>
    </w:p>
    <w:p w:rsidR="008A282C" w:rsidRPr="008A282C" w:rsidRDefault="008A282C" w:rsidP="008A282C">
      <w:pPr>
        <w:spacing w:after="120" w:line="240" w:lineRule="auto"/>
        <w:rPr>
          <w:rFonts w:asciiTheme="majorBidi" w:hAnsiTheme="majorBidi" w:cstheme="majorBidi"/>
          <w:b/>
          <w:bCs/>
          <w:sz w:val="20"/>
          <w:szCs w:val="20"/>
          <w:rtl/>
          <w:lang w:bidi="ar-EG"/>
        </w:rPr>
      </w:pPr>
      <w:r w:rsidRPr="008A282C">
        <w:rPr>
          <w:rFonts w:asciiTheme="majorBidi" w:hAnsiTheme="majorBidi" w:cstheme="majorBidi"/>
          <w:b/>
          <w:bCs/>
          <w:sz w:val="20"/>
          <w:szCs w:val="20"/>
          <w:rtl/>
        </w:rPr>
        <w:t xml:space="preserve">الكلمات المفتاحية : </w:t>
      </w:r>
      <w:r w:rsidRPr="008A282C">
        <w:rPr>
          <w:rFonts w:asciiTheme="majorBidi" w:hAnsiTheme="majorBidi" w:cstheme="majorBidi"/>
          <w:b/>
          <w:bCs/>
          <w:sz w:val="20"/>
          <w:szCs w:val="20"/>
          <w:rtl/>
          <w:lang w:bidi="ar-EG"/>
        </w:rPr>
        <w:t>القرآن</w:t>
      </w:r>
      <w:r w:rsidRPr="008A282C">
        <w:rPr>
          <w:rFonts w:asciiTheme="majorBidi" w:hAnsiTheme="majorBidi" w:cstheme="majorBidi"/>
          <w:b/>
          <w:bCs/>
          <w:sz w:val="20"/>
          <w:szCs w:val="20"/>
          <w:rtl/>
        </w:rPr>
        <w:t xml:space="preserve"> ، </w:t>
      </w:r>
      <w:r w:rsidRPr="008A282C">
        <w:rPr>
          <w:rFonts w:asciiTheme="majorBidi" w:hAnsiTheme="majorBidi" w:cstheme="majorBidi"/>
          <w:b/>
          <w:bCs/>
          <w:sz w:val="20"/>
          <w:szCs w:val="20"/>
          <w:rtl/>
          <w:lang w:bidi="ar-EG"/>
        </w:rPr>
        <w:t>الجواب</w:t>
      </w:r>
      <w:r w:rsidRPr="008A282C">
        <w:rPr>
          <w:rFonts w:asciiTheme="majorBidi" w:hAnsiTheme="majorBidi" w:cstheme="majorBidi"/>
          <w:b/>
          <w:bCs/>
          <w:sz w:val="20"/>
          <w:szCs w:val="20"/>
          <w:rtl/>
        </w:rPr>
        <w:t xml:space="preserve">، </w:t>
      </w:r>
      <w:r w:rsidRPr="008A282C">
        <w:rPr>
          <w:rFonts w:asciiTheme="majorBidi" w:eastAsia="Calibri" w:hAnsiTheme="majorBidi" w:cstheme="majorBidi"/>
          <w:b/>
          <w:bCs/>
          <w:sz w:val="20"/>
          <w:szCs w:val="20"/>
          <w:rtl/>
        </w:rPr>
        <w:t>ادعاء</w:t>
      </w:r>
    </w:p>
    <w:p w:rsidR="008A282C" w:rsidRPr="008A282C" w:rsidRDefault="008A282C" w:rsidP="008A282C">
      <w:pPr>
        <w:pStyle w:val="ListParagraph"/>
        <w:numPr>
          <w:ilvl w:val="0"/>
          <w:numId w:val="1"/>
        </w:numPr>
        <w:spacing w:after="120"/>
        <w:jc w:val="center"/>
        <w:rPr>
          <w:rFonts w:asciiTheme="majorBidi" w:hAnsiTheme="majorBidi" w:cstheme="majorBidi"/>
          <w:b/>
          <w:bCs/>
          <w:sz w:val="20"/>
          <w:szCs w:val="20"/>
          <w:rtl/>
        </w:rPr>
      </w:pPr>
      <w:r w:rsidRPr="008A282C">
        <w:rPr>
          <w:rFonts w:asciiTheme="majorBidi" w:hAnsiTheme="majorBidi" w:cstheme="majorBidi"/>
          <w:b/>
          <w:bCs/>
          <w:sz w:val="20"/>
          <w:szCs w:val="20"/>
          <w:rtl/>
        </w:rPr>
        <w:t>المقدمة</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8A282C">
        <w:rPr>
          <w:rFonts w:asciiTheme="majorBidi" w:eastAsia="Calibri" w:hAnsiTheme="majorBidi" w:cstheme="majorBidi"/>
          <w:b/>
          <w:bCs/>
          <w:sz w:val="20"/>
          <w:szCs w:val="20"/>
          <w:rtl/>
        </w:rPr>
        <w:t xml:space="preserve">ادعاء أن النبي </w:t>
      </w:r>
      <w:r w:rsidR="00787A59">
        <w:rPr>
          <w:rFonts w:asciiTheme="majorBidi" w:eastAsia="Calibri" w:hAnsiTheme="majorBidi" w:cstheme="majorBidi"/>
          <w:b/>
          <w:bCs/>
          <w:position w:val="-4"/>
          <w:sz w:val="20"/>
          <w:szCs w:val="20"/>
          <w:rtl/>
        </w:rPr>
        <w:t>صلى الله عليه وسلم</w:t>
      </w:r>
      <w:r w:rsidRPr="008A282C">
        <w:rPr>
          <w:rFonts w:asciiTheme="majorBidi" w:eastAsia="Calibri" w:hAnsiTheme="majorBidi" w:cstheme="majorBidi"/>
          <w:b/>
          <w:bCs/>
          <w:sz w:val="20"/>
          <w:szCs w:val="20"/>
          <w:rtl/>
        </w:rPr>
        <w:t xml:space="preserve"> قد نقل القرآن من غيره</w:t>
      </w:r>
    </w:p>
    <w:p w:rsidR="008A282C" w:rsidRPr="008A282C" w:rsidRDefault="008A282C" w:rsidP="008A282C">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8A282C">
        <w:rPr>
          <w:rFonts w:asciiTheme="majorBidi" w:hAnsiTheme="majorBidi" w:cstheme="majorBidi"/>
          <w:b/>
          <w:bCs/>
          <w:sz w:val="20"/>
          <w:szCs w:val="20"/>
          <w:rtl/>
        </w:rPr>
        <w:t>عنوان المقال</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 xml:space="preserve">بعد بيان الجواب الكافي، والرد الوافي على من يشكك في مصدر القرآن، ويقول بأن القرآن من تأليف النبي </w:t>
      </w:r>
      <w:r w:rsidR="00787A59">
        <w:rPr>
          <w:rFonts w:asciiTheme="majorBidi" w:hAnsiTheme="majorBidi" w:cstheme="majorBidi"/>
          <w:b/>
          <w:bCs/>
          <w:position w:val="-4"/>
          <w:sz w:val="20"/>
          <w:szCs w:val="20"/>
          <w:rtl/>
          <w:lang w:bidi="ar-EG"/>
        </w:rPr>
        <w:t>صلى الله عليه وسلم</w:t>
      </w:r>
      <w:r w:rsidRPr="008A282C">
        <w:rPr>
          <w:rFonts w:asciiTheme="majorBidi" w:hAnsiTheme="majorBidi" w:cstheme="majorBidi"/>
          <w:b/>
          <w:bCs/>
          <w:sz w:val="20"/>
          <w:szCs w:val="20"/>
          <w:rtl/>
          <w:lang w:bidi="ar-EG"/>
        </w:rPr>
        <w:t xml:space="preserve"> ننتقل إلى الطرف الآخر في هذه الدعوى الرئيسة ألا وهو الرد على من يقول: إن النبي </w:t>
      </w:r>
      <w:r w:rsidR="00787A59">
        <w:rPr>
          <w:rFonts w:asciiTheme="majorBidi" w:hAnsiTheme="majorBidi" w:cstheme="majorBidi"/>
          <w:b/>
          <w:bCs/>
          <w:position w:val="-4"/>
          <w:sz w:val="20"/>
          <w:szCs w:val="20"/>
          <w:rtl/>
          <w:lang w:bidi="ar-EG"/>
        </w:rPr>
        <w:t>صلى الله عليه وسلم</w:t>
      </w:r>
      <w:r w:rsidRPr="008A282C">
        <w:rPr>
          <w:rFonts w:asciiTheme="majorBidi" w:hAnsiTheme="majorBidi" w:cstheme="majorBidi"/>
          <w:b/>
          <w:bCs/>
          <w:sz w:val="20"/>
          <w:szCs w:val="20"/>
          <w:rtl/>
          <w:lang w:bidi="ar-EG"/>
        </w:rPr>
        <w:t xml:space="preserve"> قد نقل القرآن من غيره.</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فنقف أولًا مع عرض لهذه الدعوى، ثم نقف ثانيًا للرد والجواب على تلك الدعوى.</w:t>
      </w:r>
    </w:p>
    <w:p w:rsidR="008A282C" w:rsidRPr="008A282C" w:rsidRDefault="008A282C" w:rsidP="008A282C">
      <w:pPr>
        <w:pStyle w:val="NormalWeb"/>
        <w:bidi/>
        <w:jc w:val="lowKashida"/>
        <w:rPr>
          <w:rFonts w:asciiTheme="majorBidi" w:hAnsiTheme="majorBidi" w:cstheme="majorBidi"/>
          <w:b/>
          <w:bCs/>
          <w:color w:val="000080"/>
          <w:sz w:val="20"/>
          <w:szCs w:val="20"/>
          <w:rtl/>
          <w:lang w:bidi="ar-EG"/>
        </w:rPr>
      </w:pPr>
      <w:r w:rsidRPr="008A282C">
        <w:rPr>
          <w:rFonts w:asciiTheme="majorBidi" w:hAnsiTheme="majorBidi" w:cstheme="majorBidi"/>
          <w:b/>
          <w:bCs/>
          <w:color w:val="000080"/>
          <w:sz w:val="20"/>
          <w:szCs w:val="20"/>
          <w:rtl/>
          <w:lang w:bidi="ar-EG"/>
        </w:rPr>
        <w:t xml:space="preserve">أولًا: عرض هذه الدعوى؛ دعوى أن النبي </w:t>
      </w:r>
      <w:r w:rsidR="00787A59">
        <w:rPr>
          <w:rFonts w:asciiTheme="majorBidi" w:hAnsiTheme="majorBidi" w:cstheme="majorBidi"/>
          <w:b/>
          <w:bCs/>
          <w:color w:val="000080"/>
          <w:position w:val="-4"/>
          <w:sz w:val="20"/>
          <w:szCs w:val="20"/>
          <w:rtl/>
          <w:lang w:bidi="ar-EG"/>
        </w:rPr>
        <w:t>صلى الله عليه وسلم</w:t>
      </w:r>
      <w:r w:rsidRPr="008A282C">
        <w:rPr>
          <w:rFonts w:asciiTheme="majorBidi" w:hAnsiTheme="majorBidi" w:cstheme="majorBidi"/>
          <w:b/>
          <w:bCs/>
          <w:color w:val="000080"/>
          <w:sz w:val="20"/>
          <w:szCs w:val="20"/>
          <w:rtl/>
          <w:lang w:bidi="ar-EG"/>
        </w:rPr>
        <w:t xml:space="preserve"> قد نقل القرآن من غيره:</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 xml:space="preserve">يقرر بعض المشككين، أو الطاعنين أن القرآن ليس من عند النبي </w:t>
      </w:r>
      <w:r w:rsidR="00787A59">
        <w:rPr>
          <w:rFonts w:asciiTheme="majorBidi" w:hAnsiTheme="majorBidi" w:cstheme="majorBidi"/>
          <w:b/>
          <w:bCs/>
          <w:position w:val="-4"/>
          <w:sz w:val="20"/>
          <w:szCs w:val="20"/>
          <w:rtl/>
          <w:lang w:bidi="ar-EG"/>
        </w:rPr>
        <w:t>صلى الله عليه وسلم</w:t>
      </w:r>
      <w:r w:rsidRPr="008A282C">
        <w:rPr>
          <w:rFonts w:asciiTheme="majorBidi" w:hAnsiTheme="majorBidi" w:cstheme="majorBidi"/>
          <w:b/>
          <w:bCs/>
          <w:sz w:val="20"/>
          <w:szCs w:val="20"/>
          <w:rtl/>
          <w:lang w:bidi="ar-EG"/>
        </w:rPr>
        <w:t xml:space="preserve"> ولكنه أيضًا ليس من عند الله، بل هو مما نقله النبي من غيره.</w:t>
      </w:r>
    </w:p>
    <w:p w:rsidR="008A282C" w:rsidRPr="008A282C" w:rsidRDefault="008A282C" w:rsidP="00B75647">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وقد قال ذلك مشركو مكة قالوا: إنه قد تعلمه من غلام نصراني</w:t>
      </w:r>
      <w:r w:rsidR="00B75647">
        <w:rPr>
          <w:rFonts w:asciiTheme="majorBidi" w:hAnsiTheme="majorBidi" w:cstheme="majorBidi" w:hint="cs"/>
          <w:b/>
          <w:bCs/>
          <w:sz w:val="20"/>
          <w:szCs w:val="20"/>
          <w:rtl/>
          <w:lang w:bidi="ar-EG"/>
        </w:rPr>
        <w:t>...</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وهذا الغي قد يكون من أهل الكتاب، وقد يكون من غيرهم، وقد ألفت في هذا الطعن مؤلفات استشراقية كثيرة منها على سبيل المثال: كتاب (عناصر يهودية في مصطلحات القرآن الدينية) للمستشرق المجري برنت هيلر، وكذلك كتاب (الكلمات الأجنبية في القرآن) رسالة دكتوراه للمستشرق الألماني فرانكاي، وكتاب (مراجع القرآن، وعلومه) للمستشرق الألماني برتزل، وكتاب (مصادر القصص الإسلامية في القرآن وقصص الأنبياء) لسيدر سكاي، وكتاب (مصادر القصص الكتابي في القرآن) لمؤلفه اسباير.</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فهذه الكتب ألفت في هذا الطعن فقط، وهناك كتب أخرى ذكر هذا الطعن في أثنائها منها مثلًا: دائرة المعارف الإسلامية حيث يقولون: "إنه ليس في سورة الفاتحة أي شيء إسلامي، بل على العكس فيها ألفاظ يهودية، ونصرانية".</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وفي دائرة المعارف أيضًا قالوا: "القرآن عبارة عما كان عند الكهان بدليل وجود السجع، والقسم بالطبيعة".</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 xml:space="preserve">ويقول جولد تسيهر: "إن القرآن ليس إلا مزيجًا منتخبًا من معارف، وآراء دينية عرفها واستقاها محمد بسبب اتصاله بالعناصر اليهودية والمسيحية وغيرها التي تأثر بها تأثرًا عميقًا، والتي رآها جديرة بأن توقظ عاطفة دينية حقيقية عند بني وطنه، لقد تأثر بهذه الأفكار تأثرًا </w:t>
      </w:r>
      <w:r w:rsidRPr="008A282C">
        <w:rPr>
          <w:rFonts w:asciiTheme="majorBidi" w:hAnsiTheme="majorBidi" w:cstheme="majorBidi"/>
          <w:b/>
          <w:bCs/>
          <w:sz w:val="20"/>
          <w:szCs w:val="20"/>
          <w:rtl/>
          <w:lang w:bidi="ar-EG"/>
        </w:rPr>
        <w:lastRenderedPageBreak/>
        <w:t>وصل إلى أعماق نفسه، وأدركها بإيحاء قوة التأثيرات الخارجية، فصارت عقيدة انطوى عليها قلبه، كما صار يعتبر هذه التعاليم وحيًا إلهيًّا".</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ويزعم المبشر نلسون: "أن الإسلام مقلد، وأن أحسن ما فيه مأخوذ من النصرانية، وسائر ما فيه مأخوذ من الوثنية".</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وحكى الكونت هنري دكاستري في كتابه (الإسلام؛ سوانح وخواطر) حكى عن أحد المبشرين قوله: "إن الرسول كان يقرأ، ويكتب فقرأ التوراة، وقرأ الإنجيل، وأخذ تعاليمه منهما".</w:t>
      </w:r>
    </w:p>
    <w:p w:rsidR="008A282C" w:rsidRPr="008A282C" w:rsidRDefault="008A282C" w:rsidP="008A282C">
      <w:pPr>
        <w:pStyle w:val="NormalWeb"/>
        <w:bidi/>
        <w:spacing w:before="0" w:beforeAutospacing="0" w:after="120" w:afterAutospacing="0"/>
        <w:jc w:val="lowKashida"/>
        <w:rPr>
          <w:rFonts w:asciiTheme="majorBidi" w:hAnsiTheme="majorBidi" w:cstheme="majorBidi"/>
          <w:b/>
          <w:bCs/>
          <w:sz w:val="20"/>
          <w:szCs w:val="20"/>
          <w:rtl/>
        </w:rPr>
      </w:pPr>
      <w:r w:rsidRPr="008A282C">
        <w:rPr>
          <w:rFonts w:asciiTheme="majorBidi" w:hAnsiTheme="majorBidi" w:cstheme="majorBidi"/>
          <w:b/>
          <w:bCs/>
          <w:sz w:val="20"/>
          <w:szCs w:val="20"/>
          <w:rtl/>
          <w:lang w:bidi="ar-EG"/>
        </w:rPr>
        <w:t xml:space="preserve">كان هذا عرضًا مجملًا لتلك الدعوى، التي يدعون فيها أن النبي </w:t>
      </w:r>
      <w:r w:rsidR="00787A59">
        <w:rPr>
          <w:rFonts w:asciiTheme="majorBidi" w:hAnsiTheme="majorBidi" w:cstheme="majorBidi"/>
          <w:b/>
          <w:bCs/>
          <w:position w:val="-4"/>
          <w:sz w:val="20"/>
          <w:szCs w:val="20"/>
          <w:rtl/>
          <w:lang w:bidi="ar-EG"/>
        </w:rPr>
        <w:t>صلى الله عليه وسلم</w:t>
      </w:r>
      <w:r w:rsidRPr="008A282C">
        <w:rPr>
          <w:rFonts w:asciiTheme="majorBidi" w:hAnsiTheme="majorBidi" w:cstheme="majorBidi"/>
          <w:b/>
          <w:bCs/>
          <w:sz w:val="20"/>
          <w:szCs w:val="20"/>
          <w:rtl/>
          <w:lang w:bidi="ar-EG"/>
        </w:rPr>
        <w:t xml:space="preserve"> قد نقل القرآن من غيره.</w:t>
      </w:r>
    </w:p>
    <w:p w:rsidR="008A282C" w:rsidRPr="008A282C" w:rsidRDefault="008A282C" w:rsidP="008A282C">
      <w:pPr>
        <w:spacing w:line="240" w:lineRule="auto"/>
        <w:rPr>
          <w:rFonts w:asciiTheme="majorBidi" w:hAnsiTheme="majorBidi" w:cstheme="majorBidi"/>
          <w:b/>
          <w:bCs/>
          <w:i/>
          <w:iCs/>
          <w:sz w:val="20"/>
          <w:szCs w:val="20"/>
          <w:rtl/>
          <w:lang w:bidi="ar-EG"/>
        </w:rPr>
      </w:pPr>
      <w:r w:rsidRPr="008A282C">
        <w:rPr>
          <w:rFonts w:asciiTheme="majorBidi" w:hAnsiTheme="majorBidi" w:cstheme="majorBidi"/>
          <w:b/>
          <w:bCs/>
          <w:sz w:val="20"/>
          <w:szCs w:val="20"/>
          <w:rtl/>
          <w:lang w:bidi="ar-EG"/>
        </w:rPr>
        <w:t>ولا بد بعد عرض هذه الدعوى لا بد من بيان الجواب الكافي، والرد الشافي على تلك الدعوى.</w:t>
      </w:r>
    </w:p>
    <w:p w:rsidR="008A282C" w:rsidRPr="008A282C" w:rsidRDefault="008A282C" w:rsidP="008A282C">
      <w:pPr>
        <w:spacing w:after="120" w:line="240" w:lineRule="auto"/>
        <w:jc w:val="center"/>
        <w:rPr>
          <w:rFonts w:asciiTheme="majorBidi" w:hAnsiTheme="majorBidi" w:cstheme="majorBidi"/>
          <w:b/>
          <w:bCs/>
          <w:sz w:val="20"/>
          <w:szCs w:val="20"/>
          <w:rtl/>
        </w:rPr>
      </w:pPr>
      <w:r w:rsidRPr="008A282C">
        <w:rPr>
          <w:rFonts w:asciiTheme="majorBidi" w:hAnsiTheme="majorBidi" w:cstheme="majorBidi"/>
          <w:b/>
          <w:bCs/>
          <w:sz w:val="20"/>
          <w:szCs w:val="20"/>
          <w:rtl/>
        </w:rPr>
        <w:t>المصادر والمراجع</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tl/>
        </w:rPr>
      </w:pPr>
      <w:r w:rsidRPr="008A282C">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tl/>
        </w:rPr>
      </w:pPr>
      <w:r w:rsidRPr="008A282C">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tl/>
        </w:rPr>
      </w:pPr>
      <w:r w:rsidRPr="008A282C">
        <w:rPr>
          <w:rFonts w:asciiTheme="majorBidi" w:hAnsiTheme="majorBidi" w:cstheme="majorBidi"/>
          <w:b/>
          <w:bCs/>
          <w:sz w:val="20"/>
          <w:szCs w:val="20"/>
          <w:rtl/>
        </w:rPr>
        <w:t>أبي داود، ابن أبي داود، تحقيق: محب الدين واعظ، (المصاحف) ، دار البشائر الإسلامية، 2002م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tl/>
        </w:rPr>
      </w:pPr>
      <w:r w:rsidRPr="008A282C">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tl/>
        </w:rPr>
      </w:pPr>
      <w:r w:rsidRPr="008A282C">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أبو زهرة، محمد أبو زهرة، (المعجزة الكبرى القرآن)  ، دار طيب للنشر، 2003م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8A282C" w:rsidRPr="008A282C" w:rsidRDefault="008A282C" w:rsidP="008A282C">
      <w:pPr>
        <w:numPr>
          <w:ilvl w:val="0"/>
          <w:numId w:val="2"/>
        </w:numPr>
        <w:spacing w:after="120" w:line="240" w:lineRule="auto"/>
        <w:jc w:val="lowKashida"/>
        <w:rPr>
          <w:rFonts w:asciiTheme="majorBidi" w:hAnsiTheme="majorBidi" w:cstheme="majorBidi"/>
          <w:b/>
          <w:bCs/>
          <w:sz w:val="20"/>
          <w:szCs w:val="20"/>
        </w:rPr>
      </w:pPr>
      <w:r w:rsidRPr="008A282C">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8A282C" w:rsidRPr="008A282C" w:rsidRDefault="008A282C" w:rsidP="008A282C">
      <w:pPr>
        <w:rPr>
          <w:rFonts w:asciiTheme="majorBidi" w:hAnsiTheme="majorBidi" w:cstheme="majorBidi"/>
          <w:i/>
          <w:iCs/>
          <w:rtl/>
          <w:lang w:bidi="ar-EG"/>
        </w:rPr>
        <w:sectPr w:rsidR="008A282C" w:rsidRPr="008A282C" w:rsidSect="008A282C">
          <w:type w:val="continuous"/>
          <w:pgSz w:w="11906" w:h="16838"/>
          <w:pgMar w:top="964" w:right="1021" w:bottom="964" w:left="1021" w:header="709" w:footer="709" w:gutter="0"/>
          <w:cols w:num="2" w:space="708"/>
          <w:bidi/>
          <w:rtlGutter/>
          <w:docGrid w:linePitch="360"/>
        </w:sectPr>
      </w:pPr>
    </w:p>
    <w:p w:rsidR="008A282C" w:rsidRPr="008A282C" w:rsidRDefault="008A282C" w:rsidP="008A282C">
      <w:pPr>
        <w:rPr>
          <w:rFonts w:asciiTheme="majorBidi" w:hAnsiTheme="majorBidi" w:cstheme="majorBidi"/>
          <w:i/>
          <w:iCs/>
          <w:lang w:bidi="ar-EG"/>
        </w:rPr>
      </w:pPr>
    </w:p>
    <w:sectPr w:rsidR="008A282C" w:rsidRPr="008A282C" w:rsidSect="008A282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F06AB4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A282C"/>
    <w:rsid w:val="00117E83"/>
    <w:rsid w:val="00514443"/>
    <w:rsid w:val="00787A59"/>
    <w:rsid w:val="007F61DA"/>
    <w:rsid w:val="008A282C"/>
    <w:rsid w:val="009556CB"/>
    <w:rsid w:val="00B75647"/>
    <w:rsid w:val="00BF7572"/>
    <w:rsid w:val="00C92F68"/>
    <w:rsid w:val="00EF7900"/>
    <w:rsid w:val="00FB2E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8A282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8A28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82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3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5</cp:revision>
  <dcterms:created xsi:type="dcterms:W3CDTF">2013-06-22T14:48:00Z</dcterms:created>
  <dcterms:modified xsi:type="dcterms:W3CDTF">2013-06-26T21:48:00Z</dcterms:modified>
</cp:coreProperties>
</file>