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Pr="00306090" w:rsidRDefault="00306090" w:rsidP="00306090">
      <w:pPr>
        <w:spacing w:line="240" w:lineRule="auto"/>
        <w:jc w:val="center"/>
        <w:rPr>
          <w:sz w:val="48"/>
          <w:szCs w:val="48"/>
          <w:rtl/>
        </w:rPr>
      </w:pPr>
      <w:r w:rsidRPr="004D5388">
        <w:rPr>
          <w:rFonts w:asciiTheme="majorBidi" w:eastAsia="Calibri" w:hAnsiTheme="majorBidi" w:cstheme="majorBidi"/>
          <w:sz w:val="48"/>
          <w:szCs w:val="48"/>
          <w:rtl/>
        </w:rPr>
        <w:t xml:space="preserve">الآثار الواردة عن ابن عباس فيما يتعلق بوقوع الخطأ في كتابة </w:t>
      </w:r>
      <w:r w:rsidRPr="00306090">
        <w:rPr>
          <w:rFonts w:asciiTheme="majorBidi" w:eastAsia="Calibri" w:hAnsiTheme="majorBidi" w:cstheme="majorBidi"/>
          <w:sz w:val="48"/>
          <w:szCs w:val="48"/>
          <w:rtl/>
        </w:rPr>
        <w:t>المصاحف العثمانية، والرد عليها</w:t>
      </w:r>
    </w:p>
    <w:p w:rsidR="00306090" w:rsidRPr="00306090" w:rsidRDefault="00306090" w:rsidP="00306090">
      <w:pPr>
        <w:spacing w:line="240" w:lineRule="auto"/>
        <w:jc w:val="center"/>
        <w:rPr>
          <w:sz w:val="48"/>
          <w:szCs w:val="48"/>
          <w:rtl/>
        </w:rPr>
      </w:pPr>
      <w:r w:rsidRPr="00306090">
        <w:rPr>
          <w:rFonts w:hint="cs"/>
          <w:sz w:val="48"/>
          <w:szCs w:val="48"/>
          <w:rtl/>
        </w:rPr>
        <w:t>(</w:t>
      </w:r>
      <w:r>
        <w:rPr>
          <w:rFonts w:hint="cs"/>
          <w:sz w:val="48"/>
          <w:szCs w:val="48"/>
          <w:rtl/>
        </w:rPr>
        <w:t>1</w:t>
      </w:r>
      <w:r w:rsidRPr="00306090">
        <w:rPr>
          <w:rFonts w:hint="cs"/>
          <w:sz w:val="48"/>
          <w:szCs w:val="48"/>
          <w:rtl/>
        </w:rPr>
        <w:t>)</w:t>
      </w:r>
    </w:p>
    <w:p w:rsidR="00271A29" w:rsidRPr="00634035" w:rsidRDefault="00271A29" w:rsidP="00271A29">
      <w:pPr>
        <w:pStyle w:val="papersubtitle"/>
        <w:bidi/>
        <w:rPr>
          <w:i/>
          <w:iCs/>
          <w:rtl/>
        </w:rPr>
      </w:pPr>
      <w:r w:rsidRPr="00634035">
        <w:rPr>
          <w:i/>
          <w:iCs/>
          <w:rtl/>
        </w:rPr>
        <w:t xml:space="preserve">بحث  فى </w:t>
      </w:r>
      <w:r w:rsidRPr="00634035">
        <w:rPr>
          <w:rFonts w:hint="cs"/>
          <w:i/>
          <w:iCs/>
          <w:rtl/>
        </w:rPr>
        <w:t>دفاع عن القراَن</w:t>
      </w:r>
    </w:p>
    <w:p w:rsidR="00271A29" w:rsidRPr="009264EA" w:rsidRDefault="00271A29" w:rsidP="00271A29">
      <w:pPr>
        <w:pStyle w:val="papersubtitle"/>
        <w:bidi/>
        <w:rPr>
          <w:i/>
          <w:iCs/>
          <w:sz w:val="24"/>
          <w:szCs w:val="24"/>
        </w:rPr>
      </w:pPr>
      <w:r w:rsidRPr="009264EA">
        <w:rPr>
          <w:i/>
          <w:iCs/>
          <w:sz w:val="24"/>
          <w:szCs w:val="24"/>
          <w:rtl/>
        </w:rPr>
        <w:t xml:space="preserve">إعداد أ/ </w:t>
      </w:r>
      <w:r w:rsidRPr="00644E05">
        <w:rPr>
          <w:rFonts w:hint="cs"/>
          <w:i/>
          <w:iCs/>
          <w:sz w:val="24"/>
          <w:szCs w:val="24"/>
          <w:rtl/>
        </w:rPr>
        <w:t>أحمد</w:t>
      </w:r>
      <w:r w:rsidRPr="00644E05">
        <w:rPr>
          <w:i/>
          <w:iCs/>
          <w:sz w:val="24"/>
          <w:szCs w:val="24"/>
          <w:rtl/>
        </w:rPr>
        <w:t xml:space="preserve"> </w:t>
      </w:r>
      <w:r w:rsidRPr="00644E05">
        <w:rPr>
          <w:rFonts w:hint="cs"/>
          <w:i/>
          <w:iCs/>
          <w:sz w:val="24"/>
          <w:szCs w:val="24"/>
          <w:rtl/>
        </w:rPr>
        <w:t>عبد</w:t>
      </w:r>
      <w:r w:rsidRPr="00644E05">
        <w:rPr>
          <w:i/>
          <w:iCs/>
          <w:sz w:val="24"/>
          <w:szCs w:val="24"/>
          <w:rtl/>
        </w:rPr>
        <w:t xml:space="preserve"> </w:t>
      </w:r>
      <w:r w:rsidRPr="00644E05">
        <w:rPr>
          <w:rFonts w:hint="cs"/>
          <w:i/>
          <w:iCs/>
          <w:sz w:val="24"/>
          <w:szCs w:val="24"/>
          <w:rtl/>
        </w:rPr>
        <w:t>الحميد</w:t>
      </w:r>
      <w:r w:rsidRPr="00644E05">
        <w:rPr>
          <w:i/>
          <w:iCs/>
          <w:sz w:val="24"/>
          <w:szCs w:val="24"/>
          <w:rtl/>
        </w:rPr>
        <w:t xml:space="preserve"> </w:t>
      </w:r>
      <w:r w:rsidRPr="00644E05">
        <w:rPr>
          <w:rFonts w:hint="cs"/>
          <w:i/>
          <w:iCs/>
          <w:sz w:val="24"/>
          <w:szCs w:val="24"/>
          <w:rtl/>
        </w:rPr>
        <w:t>مهدي</w:t>
      </w:r>
    </w:p>
    <w:p w:rsidR="00271A29" w:rsidRPr="009264EA" w:rsidRDefault="00271A29" w:rsidP="00271A29">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271A29" w:rsidRPr="009264EA" w:rsidRDefault="00271A29" w:rsidP="00271A29">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271A29" w:rsidRPr="009264EA" w:rsidRDefault="00271A29" w:rsidP="00271A29">
      <w:pPr>
        <w:pStyle w:val="papersubtitle"/>
        <w:bidi/>
        <w:rPr>
          <w:i/>
          <w:iCs/>
          <w:sz w:val="22"/>
          <w:szCs w:val="22"/>
          <w:rtl/>
        </w:rPr>
      </w:pPr>
      <w:r w:rsidRPr="009264EA">
        <w:rPr>
          <w:i/>
          <w:iCs/>
          <w:sz w:val="22"/>
          <w:szCs w:val="22"/>
          <w:rtl/>
        </w:rPr>
        <w:t>شاه علم – ماليزيا</w:t>
      </w:r>
    </w:p>
    <w:p w:rsidR="00271A29" w:rsidRDefault="00271A29" w:rsidP="00271A29">
      <w:pPr>
        <w:spacing w:after="120" w:line="240" w:lineRule="auto"/>
        <w:jc w:val="center"/>
        <w:rPr>
          <w:rFonts w:asciiTheme="majorBidi" w:hAnsiTheme="majorBidi" w:cstheme="majorBidi"/>
          <w:b/>
          <w:bCs/>
          <w:sz w:val="20"/>
          <w:szCs w:val="20"/>
        </w:rPr>
      </w:pPr>
      <w:r w:rsidRPr="00644E05">
        <w:rPr>
          <w:rFonts w:asciiTheme="majorBidi" w:hAnsiTheme="majorBidi" w:cs="AL-Hotham"/>
          <w:i/>
          <w:iCs/>
        </w:rPr>
        <w:t>ahmed.mahdey@mediu.ws</w:t>
      </w:r>
    </w:p>
    <w:p w:rsidR="00306090" w:rsidRPr="00271A29" w:rsidRDefault="00306090" w:rsidP="00306090">
      <w:pPr>
        <w:spacing w:line="240" w:lineRule="auto"/>
        <w:jc w:val="center"/>
        <w:rPr>
          <w:rFonts w:ascii="Calibri" w:hAnsi="Calibri" w:cs="AL-Mateen"/>
          <w:sz w:val="32"/>
          <w:szCs w:val="32"/>
          <w:lang w:bidi="ar-EG"/>
        </w:rPr>
      </w:pPr>
    </w:p>
    <w:p w:rsidR="00306090" w:rsidRDefault="00306090" w:rsidP="00306090">
      <w:pPr>
        <w:spacing w:after="120"/>
        <w:rPr>
          <w:rFonts w:asciiTheme="majorBidi" w:hAnsiTheme="majorBidi" w:cstheme="majorBidi"/>
          <w:b/>
          <w:bCs/>
          <w:sz w:val="20"/>
          <w:szCs w:val="20"/>
          <w:rtl/>
        </w:rPr>
        <w:sectPr w:rsidR="00306090" w:rsidSect="00BF7572">
          <w:pgSz w:w="11906" w:h="16838"/>
          <w:pgMar w:top="964" w:right="1021" w:bottom="964" w:left="1021" w:header="709" w:footer="709" w:gutter="0"/>
          <w:cols w:space="708"/>
          <w:bidi/>
          <w:rtlGutter/>
          <w:docGrid w:linePitch="360"/>
        </w:sectPr>
      </w:pPr>
    </w:p>
    <w:p w:rsidR="00306090" w:rsidRPr="00306090" w:rsidRDefault="00306090" w:rsidP="00306090">
      <w:pPr>
        <w:spacing w:after="120"/>
        <w:rPr>
          <w:rFonts w:asciiTheme="majorBidi" w:hAnsiTheme="majorBidi" w:cstheme="majorBidi"/>
          <w:b/>
          <w:bCs/>
          <w:sz w:val="20"/>
          <w:szCs w:val="20"/>
          <w:rtl/>
        </w:rPr>
      </w:pPr>
      <w:r w:rsidRPr="00306090">
        <w:rPr>
          <w:rFonts w:asciiTheme="majorBidi" w:hAnsiTheme="majorBidi" w:cstheme="majorBidi"/>
          <w:b/>
          <w:bCs/>
          <w:sz w:val="20"/>
          <w:szCs w:val="20"/>
          <w:rtl/>
        </w:rPr>
        <w:lastRenderedPageBreak/>
        <w:t xml:space="preserve">خلاصة ـــ هذا البحث يبحث في </w:t>
      </w:r>
      <w:r w:rsidRPr="00306090">
        <w:rPr>
          <w:rFonts w:asciiTheme="majorBidi" w:eastAsia="Calibri" w:hAnsiTheme="majorBidi" w:cstheme="majorBidi"/>
          <w:b/>
          <w:bCs/>
          <w:sz w:val="20"/>
          <w:szCs w:val="20"/>
          <w:rtl/>
        </w:rPr>
        <w:t>الآثار الواردة عن ابن عباس فيما يتعلق بوقوع الخطأ في كتابة المصاحف العثمانية، والرد عليها</w:t>
      </w:r>
    </w:p>
    <w:p w:rsidR="00306090" w:rsidRPr="00306090" w:rsidRDefault="00306090" w:rsidP="00306090">
      <w:pPr>
        <w:spacing w:after="120"/>
        <w:rPr>
          <w:rFonts w:asciiTheme="majorBidi" w:hAnsiTheme="majorBidi" w:cstheme="majorBidi"/>
          <w:b/>
          <w:bCs/>
          <w:sz w:val="20"/>
          <w:szCs w:val="20"/>
          <w:rtl/>
          <w:lang w:bidi="ar-EG"/>
        </w:rPr>
      </w:pPr>
      <w:r w:rsidRPr="00306090">
        <w:rPr>
          <w:rFonts w:asciiTheme="majorBidi" w:hAnsiTheme="majorBidi" w:cstheme="majorBidi"/>
          <w:b/>
          <w:bCs/>
          <w:sz w:val="20"/>
          <w:szCs w:val="20"/>
          <w:rtl/>
        </w:rPr>
        <w:t xml:space="preserve">الكلمات المفتاحية : </w:t>
      </w:r>
      <w:r w:rsidRPr="00306090">
        <w:rPr>
          <w:rFonts w:asciiTheme="majorBidi" w:hAnsiTheme="majorBidi" w:cstheme="majorBidi"/>
          <w:b/>
          <w:bCs/>
          <w:sz w:val="20"/>
          <w:szCs w:val="20"/>
          <w:rtl/>
          <w:lang w:bidi="ar-EG"/>
        </w:rPr>
        <w:t>الآثار</w:t>
      </w:r>
      <w:r w:rsidRPr="00306090">
        <w:rPr>
          <w:rFonts w:asciiTheme="majorBidi" w:hAnsiTheme="majorBidi" w:cstheme="majorBidi"/>
          <w:b/>
          <w:bCs/>
          <w:sz w:val="20"/>
          <w:szCs w:val="20"/>
          <w:rtl/>
        </w:rPr>
        <w:t xml:space="preserve"> ،</w:t>
      </w:r>
      <w:r w:rsidRPr="00306090">
        <w:rPr>
          <w:rFonts w:asciiTheme="majorBidi" w:hAnsiTheme="majorBidi" w:cstheme="majorBidi"/>
          <w:b/>
          <w:bCs/>
          <w:sz w:val="20"/>
          <w:szCs w:val="20"/>
          <w:rtl/>
          <w:lang w:bidi="ar-EG"/>
        </w:rPr>
        <w:t xml:space="preserve"> المصاحف</w:t>
      </w:r>
      <w:r w:rsidRPr="00306090">
        <w:rPr>
          <w:rFonts w:asciiTheme="majorBidi" w:hAnsiTheme="majorBidi" w:cstheme="majorBidi"/>
          <w:b/>
          <w:bCs/>
          <w:sz w:val="20"/>
          <w:szCs w:val="20"/>
          <w:rtl/>
        </w:rPr>
        <w:t xml:space="preserve"> ،</w:t>
      </w:r>
      <w:r w:rsidRPr="00306090">
        <w:rPr>
          <w:rFonts w:asciiTheme="majorBidi" w:hAnsiTheme="majorBidi" w:cstheme="majorBidi"/>
          <w:b/>
          <w:bCs/>
          <w:sz w:val="20"/>
          <w:szCs w:val="20"/>
          <w:rtl/>
          <w:lang w:bidi="ar-EG"/>
        </w:rPr>
        <w:t xml:space="preserve"> الطاعنون</w:t>
      </w:r>
      <w:r w:rsidRPr="00306090">
        <w:rPr>
          <w:rFonts w:asciiTheme="majorBidi" w:hAnsiTheme="majorBidi" w:cstheme="majorBidi"/>
          <w:b/>
          <w:bCs/>
          <w:sz w:val="20"/>
          <w:szCs w:val="20"/>
          <w:rtl/>
        </w:rPr>
        <w:t xml:space="preserve"> </w:t>
      </w:r>
    </w:p>
    <w:p w:rsidR="00306090" w:rsidRPr="00306090" w:rsidRDefault="00306090" w:rsidP="00306090">
      <w:pPr>
        <w:pStyle w:val="ListParagraph"/>
        <w:numPr>
          <w:ilvl w:val="0"/>
          <w:numId w:val="1"/>
        </w:numPr>
        <w:spacing w:after="120" w:line="276" w:lineRule="auto"/>
        <w:jc w:val="center"/>
        <w:rPr>
          <w:rFonts w:asciiTheme="majorBidi" w:hAnsiTheme="majorBidi" w:cstheme="majorBidi"/>
          <w:b/>
          <w:bCs/>
          <w:sz w:val="20"/>
          <w:szCs w:val="20"/>
          <w:rtl/>
        </w:rPr>
      </w:pPr>
      <w:r w:rsidRPr="00306090">
        <w:rPr>
          <w:rFonts w:asciiTheme="majorBidi" w:hAnsiTheme="majorBidi" w:cstheme="majorBidi"/>
          <w:b/>
          <w:bCs/>
          <w:sz w:val="20"/>
          <w:szCs w:val="20"/>
          <w:rtl/>
        </w:rPr>
        <w:t>المقدمة</w:t>
      </w:r>
    </w:p>
    <w:p w:rsidR="00306090" w:rsidRPr="00306090" w:rsidRDefault="00306090" w:rsidP="00306090">
      <w:pPr>
        <w:pStyle w:val="NormalWeb"/>
        <w:bidi/>
        <w:spacing w:before="0" w:beforeAutospacing="0" w:after="120" w:afterAutospacing="0" w:line="276" w:lineRule="auto"/>
        <w:jc w:val="lowKashida"/>
        <w:rPr>
          <w:rFonts w:asciiTheme="majorBidi" w:hAnsiTheme="majorBidi" w:cstheme="majorBidi"/>
          <w:b/>
          <w:bCs/>
          <w:sz w:val="20"/>
          <w:szCs w:val="20"/>
          <w:rtl/>
        </w:rPr>
      </w:pPr>
      <w:r w:rsidRPr="00306090">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306090">
        <w:rPr>
          <w:rFonts w:asciiTheme="majorBidi" w:eastAsia="Calibri" w:hAnsiTheme="majorBidi" w:cstheme="majorBidi"/>
          <w:b/>
          <w:bCs/>
          <w:sz w:val="20"/>
          <w:szCs w:val="20"/>
          <w:rtl/>
        </w:rPr>
        <w:t>الآثار الواردة عن ابن عباس فيما يتعلق بوقوع الخطأ في كتابة المصاحف العثمانية، والرد عليها</w:t>
      </w:r>
    </w:p>
    <w:p w:rsidR="00306090" w:rsidRPr="00306090" w:rsidRDefault="00306090" w:rsidP="00306090">
      <w:pPr>
        <w:pStyle w:val="NormalWeb"/>
        <w:bidi/>
        <w:spacing w:before="0" w:beforeAutospacing="0" w:after="120" w:afterAutospacing="0" w:line="276" w:lineRule="auto"/>
        <w:jc w:val="center"/>
        <w:rPr>
          <w:rFonts w:asciiTheme="majorBidi" w:hAnsiTheme="majorBidi" w:cstheme="majorBidi"/>
          <w:b/>
          <w:bCs/>
          <w:sz w:val="20"/>
          <w:szCs w:val="20"/>
          <w:rtl/>
        </w:rPr>
      </w:pPr>
      <w:r w:rsidRPr="00306090">
        <w:rPr>
          <w:rFonts w:asciiTheme="majorBidi" w:hAnsiTheme="majorBidi" w:cstheme="majorBidi"/>
          <w:b/>
          <w:bCs/>
          <w:sz w:val="20"/>
          <w:szCs w:val="20"/>
          <w:rtl/>
        </w:rPr>
        <w:t>عنوان المقال</w:t>
      </w:r>
    </w:p>
    <w:p w:rsidR="00306090" w:rsidRPr="00306090" w:rsidRDefault="00306090" w:rsidP="00306090">
      <w:pPr>
        <w:pStyle w:val="NormalWeb"/>
        <w:bidi/>
        <w:spacing w:before="0" w:beforeAutospacing="0" w:after="120" w:afterAutospacing="0" w:line="276" w:lineRule="auto"/>
        <w:jc w:val="lowKashida"/>
        <w:rPr>
          <w:rFonts w:asciiTheme="majorBidi" w:hAnsiTheme="majorBidi" w:cstheme="majorBidi"/>
          <w:b/>
          <w:bCs/>
          <w:sz w:val="20"/>
          <w:szCs w:val="20"/>
          <w:rtl/>
        </w:rPr>
      </w:pPr>
      <w:r w:rsidRPr="00306090">
        <w:rPr>
          <w:rFonts w:asciiTheme="majorBidi" w:hAnsiTheme="majorBidi" w:cstheme="majorBidi"/>
          <w:b/>
          <w:bCs/>
          <w:sz w:val="20"/>
          <w:szCs w:val="20"/>
          <w:rtl/>
          <w:lang w:bidi="ar-EG"/>
        </w:rPr>
        <w:t xml:space="preserve">ومما هو وثيق الصلة بالدعوى السابقة؛ لا بد أن نقف مع بعض الآثار التي نسبت إلى سيدنا عبد الله بن عباس </w:t>
      </w:r>
      <w:r w:rsidRPr="00306090">
        <w:rPr>
          <w:rFonts w:asciiTheme="majorBidi" w:hAnsiTheme="majorBidi" w:cstheme="majorBidi"/>
          <w:b/>
          <w:bCs/>
          <w:position w:val="-4"/>
          <w:sz w:val="20"/>
          <w:szCs w:val="20"/>
          <w:rtl/>
          <w:lang w:bidi="ar-EG"/>
        </w:rPr>
        <w:t>{</w:t>
      </w:r>
      <w:r w:rsidRPr="00306090">
        <w:rPr>
          <w:rFonts w:asciiTheme="majorBidi" w:hAnsiTheme="majorBidi" w:cstheme="majorBidi"/>
          <w:b/>
          <w:bCs/>
          <w:sz w:val="20"/>
          <w:szCs w:val="20"/>
          <w:rtl/>
          <w:lang w:bidi="ar-EG"/>
        </w:rPr>
        <w:t xml:space="preserve"> هذه الآثار تشتمل على ما يظنه الطاعنون أنه تحريفًا أو خطأ وقع أثناء نسخ المصاحف العثمانية؛ لذلك نقول: ادعى بعض الطاعنين على جمع ونقل القرآن الكريم أن هذا النقل قد حصل فيه خطأ من الكتاب والقراء عند كتابة المصاحف العثمانية ويتعلق في ذلك بآثار رويت عن بعض الصحابة في ذلك من ذلك. </w:t>
      </w:r>
    </w:p>
    <w:p w:rsidR="00306090" w:rsidRPr="00306090" w:rsidRDefault="00306090" w:rsidP="00306090">
      <w:pPr>
        <w:pStyle w:val="NormalWeb"/>
        <w:bidi/>
        <w:spacing w:before="0" w:beforeAutospacing="0" w:after="120" w:afterAutospacing="0" w:line="276" w:lineRule="auto"/>
        <w:jc w:val="lowKashida"/>
        <w:rPr>
          <w:rFonts w:asciiTheme="majorBidi" w:hAnsiTheme="majorBidi" w:cstheme="majorBidi"/>
          <w:b/>
          <w:bCs/>
          <w:sz w:val="20"/>
          <w:szCs w:val="20"/>
          <w:rtl/>
        </w:rPr>
      </w:pPr>
      <w:r w:rsidRPr="00306090">
        <w:rPr>
          <w:rFonts w:asciiTheme="majorBidi" w:hAnsiTheme="majorBidi" w:cstheme="majorBidi"/>
          <w:b/>
          <w:bCs/>
          <w:color w:val="000080"/>
          <w:sz w:val="20"/>
          <w:szCs w:val="20"/>
          <w:rtl/>
          <w:lang w:bidi="ar-EG"/>
        </w:rPr>
        <w:t>من هذه الآثار:</w:t>
      </w:r>
      <w:r w:rsidRPr="00306090">
        <w:rPr>
          <w:rFonts w:asciiTheme="majorBidi" w:hAnsiTheme="majorBidi" w:cstheme="majorBidi"/>
          <w:b/>
          <w:bCs/>
          <w:sz w:val="20"/>
          <w:szCs w:val="20"/>
          <w:rtl/>
          <w:lang w:bidi="ar-EG"/>
        </w:rPr>
        <w:t xml:space="preserve"> ما روي عن سيدنا عبد الله بن عباس </w:t>
      </w:r>
      <w:r w:rsidRPr="00306090">
        <w:rPr>
          <w:rFonts w:asciiTheme="majorBidi" w:hAnsiTheme="majorBidi" w:cstheme="majorBidi"/>
          <w:b/>
          <w:bCs/>
          <w:position w:val="-4"/>
          <w:sz w:val="20"/>
          <w:szCs w:val="20"/>
          <w:rtl/>
          <w:lang w:bidi="ar-EG"/>
        </w:rPr>
        <w:t>{</w:t>
      </w:r>
      <w:r w:rsidRPr="00306090">
        <w:rPr>
          <w:rFonts w:asciiTheme="majorBidi" w:hAnsiTheme="majorBidi" w:cstheme="majorBidi"/>
          <w:b/>
          <w:bCs/>
          <w:sz w:val="20"/>
          <w:szCs w:val="20"/>
          <w:rtl/>
          <w:lang w:bidi="ar-EG"/>
        </w:rPr>
        <w:t xml:space="preserve"> في بعض الآيات القرآنية التي يذكر أن فيها خطأ، وفيما يلي سوف نقف وقفة مع عرض هذه الآثار أولًا، ثم الجواب على هذه الآثار ثانيًا، فالله </w:t>
      </w:r>
      <w:r w:rsidRPr="00306090">
        <w:rPr>
          <w:rFonts w:asciiTheme="majorBidi" w:hAnsiTheme="majorBidi" w:cstheme="majorBidi"/>
          <w:b/>
          <w:bCs/>
          <w:position w:val="-4"/>
          <w:sz w:val="20"/>
          <w:szCs w:val="20"/>
          <w:lang w:bidi="ar-EG"/>
        </w:rPr>
        <w:t></w:t>
      </w:r>
      <w:r w:rsidRPr="00306090">
        <w:rPr>
          <w:rFonts w:asciiTheme="majorBidi" w:hAnsiTheme="majorBidi" w:cstheme="majorBidi"/>
          <w:b/>
          <w:bCs/>
          <w:sz w:val="20"/>
          <w:szCs w:val="20"/>
          <w:rtl/>
          <w:lang w:bidi="ar-EG"/>
        </w:rPr>
        <w:t xml:space="preserve"> هو المستعان وعليه التكلان ومنه الهداية والتوفيق.</w:t>
      </w:r>
    </w:p>
    <w:p w:rsidR="00306090" w:rsidRPr="00306090" w:rsidRDefault="00306090" w:rsidP="00306090">
      <w:pPr>
        <w:pStyle w:val="NormalWeb"/>
        <w:bidi/>
        <w:spacing w:before="0" w:beforeAutospacing="0" w:after="120" w:afterAutospacing="0" w:line="276" w:lineRule="auto"/>
        <w:jc w:val="lowKashida"/>
        <w:rPr>
          <w:rFonts w:asciiTheme="majorBidi" w:hAnsiTheme="majorBidi" w:cstheme="majorBidi"/>
          <w:b/>
          <w:bCs/>
          <w:sz w:val="20"/>
          <w:szCs w:val="20"/>
          <w:rtl/>
        </w:rPr>
      </w:pPr>
      <w:r w:rsidRPr="00306090">
        <w:rPr>
          <w:rFonts w:asciiTheme="majorBidi" w:hAnsiTheme="majorBidi" w:cstheme="majorBidi"/>
          <w:b/>
          <w:bCs/>
          <w:color w:val="000080"/>
          <w:sz w:val="20"/>
          <w:szCs w:val="20"/>
          <w:rtl/>
          <w:lang w:bidi="ar-EG"/>
        </w:rPr>
        <w:t>أولًا:</w:t>
      </w:r>
      <w:r w:rsidRPr="00306090">
        <w:rPr>
          <w:rFonts w:asciiTheme="majorBidi" w:hAnsiTheme="majorBidi" w:cstheme="majorBidi"/>
          <w:b/>
          <w:bCs/>
          <w:sz w:val="20"/>
          <w:szCs w:val="20"/>
          <w:rtl/>
          <w:lang w:bidi="ar-EG"/>
        </w:rPr>
        <w:t xml:space="preserve"> عرض الآثار الواردة عن سيدنا عبد الله بن عباس </w:t>
      </w:r>
      <w:r w:rsidRPr="00306090">
        <w:rPr>
          <w:rFonts w:asciiTheme="majorBidi" w:hAnsiTheme="majorBidi" w:cstheme="majorBidi"/>
          <w:b/>
          <w:bCs/>
          <w:position w:val="-4"/>
          <w:sz w:val="20"/>
          <w:szCs w:val="20"/>
          <w:rtl/>
          <w:lang w:bidi="ar-EG"/>
        </w:rPr>
        <w:t>{</w:t>
      </w:r>
      <w:r w:rsidRPr="00306090">
        <w:rPr>
          <w:rFonts w:asciiTheme="majorBidi" w:hAnsiTheme="majorBidi" w:cstheme="majorBidi"/>
          <w:b/>
          <w:bCs/>
          <w:sz w:val="20"/>
          <w:szCs w:val="20"/>
          <w:rtl/>
          <w:lang w:bidi="ar-EG"/>
        </w:rPr>
        <w:t xml:space="preserve"> فيما يتعلق بوقوع الخطأ في كتابة المصاحف العثمانية: </w:t>
      </w:r>
    </w:p>
    <w:p w:rsidR="00306090" w:rsidRPr="00306090" w:rsidRDefault="00306090" w:rsidP="00306090">
      <w:pPr>
        <w:pStyle w:val="NormalWeb"/>
        <w:bidi/>
        <w:spacing w:before="0" w:beforeAutospacing="0" w:after="120" w:afterAutospacing="0" w:line="276" w:lineRule="auto"/>
        <w:jc w:val="lowKashida"/>
        <w:rPr>
          <w:rFonts w:asciiTheme="majorBidi" w:hAnsiTheme="majorBidi" w:cstheme="majorBidi"/>
          <w:b/>
          <w:bCs/>
          <w:sz w:val="20"/>
          <w:szCs w:val="20"/>
          <w:rtl/>
        </w:rPr>
      </w:pPr>
      <w:r w:rsidRPr="00306090">
        <w:rPr>
          <w:rFonts w:asciiTheme="majorBidi" w:hAnsiTheme="majorBidi" w:cstheme="majorBidi"/>
          <w:b/>
          <w:bCs/>
          <w:sz w:val="20"/>
          <w:szCs w:val="20"/>
          <w:rtl/>
          <w:lang w:bidi="ar-EG"/>
        </w:rPr>
        <w:t xml:space="preserve">ورد عن ابن عباس </w:t>
      </w:r>
      <w:r w:rsidRPr="00306090">
        <w:rPr>
          <w:rFonts w:asciiTheme="majorBidi" w:hAnsiTheme="majorBidi" w:cstheme="majorBidi"/>
          <w:b/>
          <w:bCs/>
          <w:position w:val="-4"/>
          <w:sz w:val="20"/>
          <w:szCs w:val="20"/>
          <w:rtl/>
          <w:lang w:bidi="ar-EG"/>
        </w:rPr>
        <w:t>{</w:t>
      </w:r>
      <w:r w:rsidRPr="00306090">
        <w:rPr>
          <w:rFonts w:asciiTheme="majorBidi" w:hAnsiTheme="majorBidi" w:cstheme="majorBidi"/>
          <w:b/>
          <w:bCs/>
          <w:sz w:val="20"/>
          <w:szCs w:val="20"/>
          <w:rtl/>
          <w:lang w:bidi="ar-EG"/>
        </w:rPr>
        <w:t xml:space="preserve"> أنه كان يقرأ: "لا تدخلوا بيوتًا غير بيوتكم حتى تستأذنوا وتسلموا على أهلها"، قال: وإنما "تستأنسوا" وهم من الكتاب؛ أي أنه كان يقرأ بدلًا من </w:t>
      </w:r>
      <w:r w:rsidRPr="00306090">
        <w:rPr>
          <w:rFonts w:ascii="Lotus Linotype" w:hAnsi="Lotus Linotype" w:cs="DecoType Thuluth"/>
          <w:b/>
          <w:bCs/>
          <w:color w:val="008000"/>
          <w:sz w:val="20"/>
          <w:szCs w:val="20"/>
          <w:rtl/>
          <w:lang w:bidi="ar-EG"/>
        </w:rPr>
        <w:t>{</w:t>
      </w:r>
      <w:r w:rsidRPr="00306090">
        <w:rPr>
          <w:rFonts w:ascii="QCF_P352" w:hAnsi="QCF_P352" w:cs="QCF_P352"/>
          <w:b/>
          <w:bCs/>
          <w:color w:val="008000"/>
          <w:sz w:val="20"/>
          <w:szCs w:val="20"/>
          <w:rtl/>
        </w:rPr>
        <w:t>ﯸ</w:t>
      </w:r>
      <w:r w:rsidRPr="00306090">
        <w:rPr>
          <w:rFonts w:asciiTheme="majorBidi" w:hAnsiTheme="majorBidi" w:cstheme="majorBidi"/>
          <w:b/>
          <w:bCs/>
          <w:color w:val="008000"/>
          <w:sz w:val="20"/>
          <w:szCs w:val="20"/>
          <w:rtl/>
        </w:rPr>
        <w:t>}</w:t>
      </w:r>
      <w:r w:rsidRPr="00306090">
        <w:rPr>
          <w:rFonts w:asciiTheme="majorBidi" w:hAnsiTheme="majorBidi" w:cstheme="majorBidi"/>
          <w:b/>
          <w:bCs/>
          <w:sz w:val="20"/>
          <w:szCs w:val="20"/>
          <w:rtl/>
        </w:rPr>
        <w:t xml:space="preserve"> كما هي في المصاحف العثمانية كان يقرؤها: "حتى تستأذنوا". </w:t>
      </w:r>
    </w:p>
    <w:p w:rsidR="00306090" w:rsidRPr="00306090" w:rsidRDefault="00306090" w:rsidP="00306090">
      <w:pPr>
        <w:pStyle w:val="NormalWeb"/>
        <w:bidi/>
        <w:spacing w:before="0" w:beforeAutospacing="0" w:after="120" w:afterAutospacing="0" w:line="276" w:lineRule="auto"/>
        <w:jc w:val="lowKashida"/>
        <w:rPr>
          <w:rFonts w:asciiTheme="majorBidi" w:hAnsiTheme="majorBidi" w:cstheme="majorBidi"/>
          <w:b/>
          <w:bCs/>
          <w:sz w:val="20"/>
          <w:szCs w:val="20"/>
          <w:rtl/>
        </w:rPr>
      </w:pPr>
      <w:r w:rsidRPr="00306090">
        <w:rPr>
          <w:rFonts w:asciiTheme="majorBidi" w:hAnsiTheme="majorBidi" w:cstheme="majorBidi"/>
          <w:b/>
          <w:bCs/>
          <w:sz w:val="20"/>
          <w:szCs w:val="20"/>
          <w:rtl/>
          <w:lang w:bidi="ar-EG"/>
        </w:rPr>
        <w:t xml:space="preserve">هذا الأثر رواه الإمام الطبري في (تفسيره) وكذلك رواه أبي داود في كتابه (المصاحف). </w:t>
      </w:r>
    </w:p>
    <w:p w:rsidR="00306090" w:rsidRPr="00306090" w:rsidRDefault="00306090" w:rsidP="00101E73">
      <w:pPr>
        <w:pStyle w:val="NormalWeb"/>
        <w:bidi/>
        <w:spacing w:before="0" w:beforeAutospacing="0" w:after="120" w:afterAutospacing="0" w:line="276" w:lineRule="auto"/>
        <w:jc w:val="lowKashida"/>
        <w:rPr>
          <w:rFonts w:asciiTheme="majorBidi" w:hAnsiTheme="majorBidi" w:cstheme="majorBidi"/>
          <w:b/>
          <w:bCs/>
          <w:sz w:val="20"/>
          <w:szCs w:val="20"/>
          <w:rtl/>
        </w:rPr>
      </w:pPr>
      <w:r w:rsidRPr="00306090">
        <w:rPr>
          <w:rFonts w:asciiTheme="majorBidi" w:hAnsiTheme="majorBidi" w:cstheme="majorBidi"/>
          <w:b/>
          <w:bCs/>
          <w:sz w:val="20"/>
          <w:szCs w:val="20"/>
          <w:rtl/>
          <w:lang w:bidi="ar-EG"/>
        </w:rPr>
        <w:t xml:space="preserve">كذلك ورد عن سيدنا بن عباس </w:t>
      </w:r>
      <w:r w:rsidRPr="00306090">
        <w:rPr>
          <w:rFonts w:asciiTheme="majorBidi" w:hAnsiTheme="majorBidi" w:cstheme="majorBidi"/>
          <w:b/>
          <w:bCs/>
          <w:position w:val="-4"/>
          <w:sz w:val="20"/>
          <w:szCs w:val="20"/>
          <w:rtl/>
          <w:lang w:bidi="ar-EG"/>
        </w:rPr>
        <w:t>{</w:t>
      </w:r>
      <w:r w:rsidRPr="00306090">
        <w:rPr>
          <w:rFonts w:asciiTheme="majorBidi" w:hAnsiTheme="majorBidi" w:cstheme="majorBidi"/>
          <w:b/>
          <w:bCs/>
          <w:sz w:val="20"/>
          <w:szCs w:val="20"/>
          <w:rtl/>
          <w:lang w:bidi="ar-EG"/>
        </w:rPr>
        <w:t xml:space="preserve"> أنه قرأ قوله تعالى في سورة "الرعد</w:t>
      </w:r>
      <w:r w:rsidRPr="00306090">
        <w:rPr>
          <w:rFonts w:ascii="Lotus Linotype" w:hAnsi="Lotus Linotype" w:cs="AL-Hotham"/>
          <w:b/>
          <w:bCs/>
          <w:sz w:val="20"/>
          <w:szCs w:val="20"/>
          <w:rtl/>
          <w:lang w:bidi="ar-EG"/>
        </w:rPr>
        <w:t xml:space="preserve">": </w:t>
      </w:r>
      <w:r w:rsidRPr="00306090">
        <w:rPr>
          <w:rFonts w:asciiTheme="majorBidi" w:hAnsiTheme="majorBidi" w:cstheme="majorBidi"/>
          <w:b/>
          <w:bCs/>
          <w:color w:val="008000"/>
          <w:sz w:val="20"/>
          <w:szCs w:val="20"/>
          <w:rtl/>
          <w:lang w:bidi="ar-EG"/>
        </w:rPr>
        <w:t xml:space="preserve"> </w:t>
      </w:r>
      <w:r w:rsidRPr="00306090">
        <w:rPr>
          <w:rFonts w:asciiTheme="majorBidi" w:hAnsiTheme="majorBidi" w:cstheme="majorBidi"/>
          <w:b/>
          <w:bCs/>
          <w:sz w:val="20"/>
          <w:szCs w:val="20"/>
          <w:rtl/>
          <w:lang w:bidi="ar-EG"/>
        </w:rPr>
        <w:t xml:space="preserve">[الرعد: 31] قرأها بن عباس: "أفلم يتبين الذين آمنوا أن لو يشاء الله لهدى الناس جميعًا" فقيل له: إنها في المصحف </w:t>
      </w:r>
      <w:r w:rsidRPr="00306090">
        <w:rPr>
          <w:rFonts w:ascii="Lotus Linotype" w:hAnsi="Lotus Linotype" w:cs="DecoType Thuluth"/>
          <w:b/>
          <w:bCs/>
          <w:color w:val="008000"/>
          <w:sz w:val="20"/>
          <w:szCs w:val="20"/>
          <w:rtl/>
          <w:lang w:bidi="ar-EG"/>
        </w:rPr>
        <w:t>{</w:t>
      </w:r>
      <w:r w:rsidRPr="00306090">
        <w:rPr>
          <w:rFonts w:ascii="QCF_P253" w:hAnsi="QCF_P253" w:cs="QCF_P253"/>
          <w:b/>
          <w:bCs/>
          <w:color w:val="008000"/>
          <w:sz w:val="20"/>
          <w:szCs w:val="20"/>
          <w:rtl/>
        </w:rPr>
        <w:t>ﮌ ﮍ</w:t>
      </w:r>
      <w:r w:rsidRPr="00306090">
        <w:rPr>
          <w:rFonts w:ascii="QCF_P253" w:hAnsi="QCF_P253" w:cs="DecoType Thuluth"/>
          <w:b/>
          <w:bCs/>
          <w:color w:val="008000"/>
          <w:sz w:val="20"/>
          <w:szCs w:val="20"/>
          <w:rtl/>
        </w:rPr>
        <w:t>}</w:t>
      </w:r>
      <w:r w:rsidRPr="00306090">
        <w:rPr>
          <w:rFonts w:ascii="Lotus Linotype" w:hAnsi="Lotus Linotype" w:cs="AL-Hotham"/>
          <w:b/>
          <w:bCs/>
          <w:sz w:val="20"/>
          <w:szCs w:val="20"/>
          <w:rtl/>
          <w:lang w:bidi="ar-EG"/>
        </w:rPr>
        <w:t xml:space="preserve"> </w:t>
      </w:r>
      <w:r w:rsidRPr="00306090">
        <w:rPr>
          <w:rFonts w:asciiTheme="majorBidi" w:hAnsiTheme="majorBidi" w:cstheme="majorBidi"/>
          <w:b/>
          <w:bCs/>
          <w:sz w:val="20"/>
          <w:szCs w:val="20"/>
          <w:rtl/>
          <w:lang w:bidi="ar-EG"/>
        </w:rPr>
        <w:t xml:space="preserve">فقال -أي: </w:t>
      </w:r>
      <w:r w:rsidRPr="00306090">
        <w:rPr>
          <w:rFonts w:asciiTheme="majorBidi" w:hAnsiTheme="majorBidi" w:cstheme="majorBidi"/>
          <w:b/>
          <w:bCs/>
          <w:sz w:val="20"/>
          <w:szCs w:val="20"/>
          <w:rtl/>
          <w:lang w:bidi="ar-EG"/>
        </w:rPr>
        <w:lastRenderedPageBreak/>
        <w:t xml:space="preserve">ابن عباس-: أظن الكاتب كتبها وهو ناعس. وهذا الأثر رواه الإمام الطبري في (تفسيره). </w:t>
      </w:r>
    </w:p>
    <w:p w:rsidR="00306090" w:rsidRPr="00306090" w:rsidRDefault="00101E73" w:rsidP="00101E73">
      <w:pPr>
        <w:pStyle w:val="NormalWeb"/>
        <w:bidi/>
        <w:spacing w:before="0" w:beforeAutospacing="0" w:after="120" w:afterAutospacing="0" w:line="276" w:lineRule="auto"/>
        <w:jc w:val="lowKashida"/>
        <w:rPr>
          <w:rFonts w:asciiTheme="majorBidi" w:hAnsiTheme="majorBidi" w:cstheme="majorBidi"/>
          <w:b/>
          <w:bCs/>
          <w:sz w:val="20"/>
          <w:szCs w:val="20"/>
          <w:rtl/>
        </w:rPr>
      </w:pPr>
      <w:r>
        <w:rPr>
          <w:rFonts w:asciiTheme="majorBidi" w:hAnsiTheme="majorBidi" w:cstheme="majorBidi" w:hint="cs"/>
          <w:b/>
          <w:bCs/>
          <w:sz w:val="20"/>
          <w:szCs w:val="20"/>
          <w:rtl/>
          <w:lang w:bidi="ar-EG"/>
        </w:rPr>
        <w:t>...</w:t>
      </w:r>
    </w:p>
    <w:p w:rsidR="00306090" w:rsidRPr="00306090" w:rsidRDefault="00306090" w:rsidP="00306090">
      <w:pPr>
        <w:pStyle w:val="NormalWeb"/>
        <w:bidi/>
        <w:spacing w:before="0" w:beforeAutospacing="0" w:after="120" w:afterAutospacing="0" w:line="276" w:lineRule="auto"/>
        <w:jc w:val="lowKashida"/>
        <w:rPr>
          <w:rFonts w:asciiTheme="majorBidi" w:hAnsiTheme="majorBidi" w:cstheme="majorBidi"/>
          <w:b/>
          <w:bCs/>
          <w:sz w:val="20"/>
          <w:szCs w:val="20"/>
          <w:rtl/>
        </w:rPr>
      </w:pPr>
      <w:r w:rsidRPr="00306090">
        <w:rPr>
          <w:rFonts w:asciiTheme="majorBidi" w:hAnsiTheme="majorBidi" w:cstheme="majorBidi"/>
          <w:b/>
          <w:bCs/>
          <w:sz w:val="20"/>
          <w:szCs w:val="20"/>
          <w:rtl/>
          <w:lang w:bidi="ar-EG"/>
        </w:rPr>
        <w:t xml:space="preserve">كذلك ورد عن ابن عباس </w:t>
      </w:r>
      <w:r w:rsidRPr="00306090">
        <w:rPr>
          <w:rFonts w:asciiTheme="majorBidi" w:hAnsiTheme="majorBidi" w:cstheme="majorBidi"/>
          <w:b/>
          <w:bCs/>
          <w:position w:val="-4"/>
          <w:sz w:val="20"/>
          <w:szCs w:val="20"/>
          <w:rtl/>
          <w:lang w:bidi="ar-EG"/>
        </w:rPr>
        <w:t>{</w:t>
      </w:r>
      <w:r w:rsidRPr="00306090">
        <w:rPr>
          <w:rFonts w:asciiTheme="majorBidi" w:hAnsiTheme="majorBidi" w:cstheme="majorBidi"/>
          <w:b/>
          <w:bCs/>
          <w:sz w:val="20"/>
          <w:szCs w:val="20"/>
          <w:rtl/>
          <w:lang w:bidi="ar-EG"/>
        </w:rPr>
        <w:t xml:space="preserve"> في قوله تعالى:</w:t>
      </w:r>
      <w:r w:rsidRPr="00306090">
        <w:rPr>
          <w:rFonts w:ascii="Lotus Linotype" w:hAnsi="Lotus Linotype" w:cs="AL-Hotham"/>
          <w:b/>
          <w:bCs/>
          <w:sz w:val="20"/>
          <w:szCs w:val="20"/>
          <w:rtl/>
          <w:lang w:bidi="ar-EG"/>
        </w:rPr>
        <w:t xml:space="preserve"> </w:t>
      </w:r>
      <w:r w:rsidRPr="00306090">
        <w:rPr>
          <w:rFonts w:ascii="Lotus Linotype" w:hAnsi="Lotus Linotype" w:cs="DecoType Thuluth"/>
          <w:b/>
          <w:bCs/>
          <w:color w:val="008000"/>
          <w:sz w:val="20"/>
          <w:szCs w:val="20"/>
          <w:rtl/>
          <w:lang w:bidi="ar-EG"/>
        </w:rPr>
        <w:t>{</w:t>
      </w:r>
      <w:r w:rsidRPr="00306090">
        <w:rPr>
          <w:rFonts w:ascii="QCF_P354" w:hAnsi="QCF_P354" w:cs="QCF_P354"/>
          <w:b/>
          <w:bCs/>
          <w:color w:val="008000"/>
          <w:sz w:val="20"/>
          <w:szCs w:val="20"/>
          <w:rtl/>
        </w:rPr>
        <w:t>ﮮ ﮯ ﮰ ﮱ ﯓ</w:t>
      </w:r>
      <w:r w:rsidRPr="00306090">
        <w:rPr>
          <w:rFonts w:ascii="QCF_P354" w:hAnsi="QCF_P354" w:cs="DecoType Thuluth"/>
          <w:b/>
          <w:bCs/>
          <w:color w:val="008000"/>
          <w:sz w:val="20"/>
          <w:szCs w:val="20"/>
          <w:rtl/>
        </w:rPr>
        <w:t>}</w:t>
      </w:r>
      <w:r w:rsidRPr="00306090">
        <w:rPr>
          <w:rFonts w:ascii="Lotus Linotype" w:hAnsi="Lotus Linotype" w:cs="AL-Hotham"/>
          <w:b/>
          <w:bCs/>
          <w:color w:val="008000"/>
          <w:sz w:val="20"/>
          <w:szCs w:val="20"/>
          <w:rtl/>
        </w:rPr>
        <w:t xml:space="preserve"> </w:t>
      </w:r>
      <w:r w:rsidRPr="00306090">
        <w:rPr>
          <w:rFonts w:asciiTheme="majorBidi" w:hAnsiTheme="majorBidi" w:cstheme="majorBidi"/>
          <w:b/>
          <w:bCs/>
          <w:sz w:val="20"/>
          <w:szCs w:val="20"/>
          <w:rtl/>
        </w:rPr>
        <w:t xml:space="preserve">[النور: 35] قال: هي خطأ من الكاتب وهو أعظم من أن يكون نوره مثل نور المشكاة، إنما هي "مثل نور المؤمن كمشكاة"، وقد ورد هذا الأثر في كتاب (الإتقان في علوم القرآن) للإمام السيوطي -رحمه الله. </w:t>
      </w:r>
    </w:p>
    <w:p w:rsidR="00306090" w:rsidRPr="00306090" w:rsidRDefault="00306090" w:rsidP="00306090">
      <w:pPr>
        <w:pStyle w:val="NormalWeb"/>
        <w:bidi/>
        <w:spacing w:before="0" w:beforeAutospacing="0" w:after="120" w:afterAutospacing="0" w:line="276" w:lineRule="auto"/>
        <w:jc w:val="lowKashida"/>
        <w:rPr>
          <w:rFonts w:asciiTheme="majorBidi" w:hAnsiTheme="majorBidi" w:cstheme="majorBidi"/>
          <w:b/>
          <w:bCs/>
          <w:spacing w:val="-4"/>
          <w:sz w:val="20"/>
          <w:szCs w:val="20"/>
          <w:rtl/>
        </w:rPr>
      </w:pPr>
      <w:r w:rsidRPr="00306090">
        <w:rPr>
          <w:rFonts w:asciiTheme="majorBidi" w:hAnsiTheme="majorBidi" w:cstheme="majorBidi"/>
          <w:b/>
          <w:bCs/>
          <w:spacing w:val="-4"/>
          <w:sz w:val="20"/>
          <w:szCs w:val="20"/>
          <w:rtl/>
          <w:lang w:bidi="ar-EG"/>
        </w:rPr>
        <w:t xml:space="preserve">فزعم الطاعنون أن هذه الآثار السابقة دلت على أن كتَّاب المصاحف قد أخطئوا وجه الصواب في كتابة المصاحف، وانبنى على تلك الأخطاء قراءة القراء بعد ذلك. </w:t>
      </w:r>
    </w:p>
    <w:p w:rsidR="00306090" w:rsidRPr="00306090" w:rsidRDefault="00306090" w:rsidP="00306090">
      <w:pPr>
        <w:pStyle w:val="NormalWeb"/>
        <w:bidi/>
        <w:spacing w:before="0" w:beforeAutospacing="0" w:after="120" w:afterAutospacing="0" w:line="276" w:lineRule="auto"/>
        <w:jc w:val="lowKashida"/>
        <w:rPr>
          <w:rFonts w:asciiTheme="majorBidi" w:hAnsiTheme="majorBidi" w:cstheme="majorBidi"/>
          <w:b/>
          <w:bCs/>
          <w:sz w:val="20"/>
          <w:szCs w:val="20"/>
          <w:rtl/>
        </w:rPr>
      </w:pPr>
      <w:r w:rsidRPr="00306090">
        <w:rPr>
          <w:rFonts w:asciiTheme="majorBidi" w:hAnsiTheme="majorBidi" w:cstheme="majorBidi"/>
          <w:b/>
          <w:bCs/>
          <w:sz w:val="20"/>
          <w:szCs w:val="20"/>
          <w:rtl/>
          <w:lang w:bidi="ar-EG"/>
        </w:rPr>
        <w:t xml:space="preserve">كان هذا عرضًا للآثار التي قامت عليها هذه الدعوى؛ دعوى وقوع الخطأ في كتابة المصاحف العثمانية، أو الآثار التي أرادها الطاعنون عن ابن عباس فيما يتعلق بهذا الموضوع، وفيما يلي أبين الجواب الكافي والرد الوافي على هذه الآثار، والله المستعان. </w:t>
      </w:r>
    </w:p>
    <w:p w:rsidR="00306090" w:rsidRPr="00306090" w:rsidRDefault="00306090" w:rsidP="00306090">
      <w:pPr>
        <w:pStyle w:val="NormalWeb"/>
        <w:bidi/>
        <w:spacing w:line="276" w:lineRule="auto"/>
        <w:jc w:val="lowKashida"/>
        <w:rPr>
          <w:rFonts w:asciiTheme="majorBidi" w:hAnsiTheme="majorBidi" w:cstheme="majorBidi"/>
          <w:b/>
          <w:bCs/>
          <w:color w:val="000080"/>
          <w:sz w:val="20"/>
          <w:szCs w:val="20"/>
          <w:rtl/>
        </w:rPr>
      </w:pPr>
      <w:r w:rsidRPr="00306090">
        <w:rPr>
          <w:rFonts w:asciiTheme="majorBidi" w:hAnsiTheme="majorBidi" w:cstheme="majorBidi"/>
          <w:b/>
          <w:bCs/>
          <w:color w:val="000080"/>
          <w:sz w:val="20"/>
          <w:szCs w:val="20"/>
          <w:rtl/>
          <w:lang w:bidi="ar-EG"/>
        </w:rPr>
        <w:t xml:space="preserve">الجواب على هذه الآثار: </w:t>
      </w:r>
    </w:p>
    <w:p w:rsidR="00306090" w:rsidRPr="00306090" w:rsidRDefault="00306090" w:rsidP="00306090">
      <w:pPr>
        <w:pStyle w:val="NormalWeb"/>
        <w:bidi/>
        <w:spacing w:before="0" w:beforeAutospacing="0" w:after="120" w:afterAutospacing="0" w:line="276" w:lineRule="auto"/>
        <w:jc w:val="lowKashida"/>
        <w:rPr>
          <w:rFonts w:asciiTheme="majorBidi" w:hAnsiTheme="majorBidi" w:cstheme="majorBidi"/>
          <w:b/>
          <w:bCs/>
          <w:sz w:val="20"/>
          <w:szCs w:val="20"/>
          <w:rtl/>
        </w:rPr>
      </w:pPr>
      <w:r w:rsidRPr="00306090">
        <w:rPr>
          <w:rFonts w:asciiTheme="majorBidi" w:hAnsiTheme="majorBidi" w:cstheme="majorBidi"/>
          <w:b/>
          <w:bCs/>
          <w:sz w:val="20"/>
          <w:szCs w:val="20"/>
          <w:rtl/>
          <w:lang w:bidi="ar-EG"/>
        </w:rPr>
        <w:t>يجاب عن هذه الآثار بطريقين:</w:t>
      </w:r>
    </w:p>
    <w:p w:rsidR="00306090" w:rsidRPr="00306090" w:rsidRDefault="00306090" w:rsidP="00306090">
      <w:pPr>
        <w:pStyle w:val="NormalWeb"/>
        <w:bidi/>
        <w:spacing w:before="0" w:beforeAutospacing="0" w:after="120" w:afterAutospacing="0" w:line="276" w:lineRule="auto"/>
        <w:jc w:val="lowKashida"/>
        <w:rPr>
          <w:rFonts w:asciiTheme="majorBidi" w:hAnsiTheme="majorBidi" w:cstheme="majorBidi"/>
          <w:b/>
          <w:bCs/>
          <w:sz w:val="20"/>
          <w:szCs w:val="20"/>
          <w:rtl/>
        </w:rPr>
      </w:pPr>
      <w:r w:rsidRPr="00306090">
        <w:rPr>
          <w:rFonts w:asciiTheme="majorBidi" w:hAnsiTheme="majorBidi" w:cstheme="majorBidi"/>
          <w:b/>
          <w:bCs/>
          <w:color w:val="000080"/>
          <w:sz w:val="20"/>
          <w:szCs w:val="20"/>
          <w:rtl/>
          <w:lang w:bidi="ar-EG"/>
        </w:rPr>
        <w:t>الطريق الأول:</w:t>
      </w:r>
      <w:r w:rsidRPr="00306090">
        <w:rPr>
          <w:rFonts w:asciiTheme="majorBidi" w:hAnsiTheme="majorBidi" w:cstheme="majorBidi"/>
          <w:b/>
          <w:bCs/>
          <w:sz w:val="20"/>
          <w:szCs w:val="20"/>
          <w:rtl/>
          <w:lang w:bidi="ar-EG"/>
        </w:rPr>
        <w:t xml:space="preserve"> هو طريق الأجوبة العامة؛ فقد أجاب العلماء -رحمهم الله- عن هذه الآثار في الجملة بوجوه عامة؛ منها: </w:t>
      </w:r>
    </w:p>
    <w:p w:rsidR="00306090" w:rsidRPr="00306090" w:rsidRDefault="00306090" w:rsidP="00306090">
      <w:pPr>
        <w:pStyle w:val="NormalWeb"/>
        <w:bidi/>
        <w:spacing w:before="0" w:beforeAutospacing="0" w:after="120" w:afterAutospacing="0" w:line="276" w:lineRule="auto"/>
        <w:jc w:val="lowKashida"/>
        <w:rPr>
          <w:rFonts w:asciiTheme="majorBidi" w:hAnsiTheme="majorBidi" w:cstheme="majorBidi"/>
          <w:b/>
          <w:bCs/>
          <w:sz w:val="20"/>
          <w:szCs w:val="20"/>
          <w:rtl/>
        </w:rPr>
      </w:pPr>
      <w:r w:rsidRPr="00306090">
        <w:rPr>
          <w:rFonts w:asciiTheme="majorBidi" w:hAnsiTheme="majorBidi" w:cstheme="majorBidi"/>
          <w:b/>
          <w:bCs/>
          <w:color w:val="000080"/>
          <w:sz w:val="20"/>
          <w:szCs w:val="20"/>
          <w:rtl/>
          <w:lang w:bidi="ar-EG"/>
        </w:rPr>
        <w:t>أولًا:</w:t>
      </w:r>
      <w:r w:rsidRPr="00306090">
        <w:rPr>
          <w:rFonts w:asciiTheme="majorBidi" w:hAnsiTheme="majorBidi" w:cstheme="majorBidi"/>
          <w:b/>
          <w:bCs/>
          <w:sz w:val="20"/>
          <w:szCs w:val="20"/>
          <w:rtl/>
          <w:lang w:bidi="ar-EG"/>
        </w:rPr>
        <w:t xml:space="preserve"> جنح ابن الأنباري -رحمه الله- وغيره إلى تضعيف هذه الروايات ومعارضتها بروايات أخرى عن ابن عباس وغيره بثبوت هذه الأحرف في القراءة، ويدل على ضعف هذه الروايات إحالة العادة خفاء الخطأ في مثل القرآن التي تواترت الهمم على نقله وحفظه، وكذلك تحيل العادة عدم انتباه الصحابة إلى ذلك، قال الزمخشري: هذا ونحوه مما لا يصدق في كتاب الله الذي لا يأتيه الباطل من بين يديه ولا من خلفه، وكيف يخفى مثل هذا حتى يبقى ثابتًا بين دفتي المصحف الإمام، وكان متقلبًا في أيدي أولئك الأعلام المحتاطين في دين الله المهتمين به لا يغفلون عن جلائله ودقائقه خصوصًا وهو والقانون الذي إليه المرجع، وكذلك هو القاعدة التي عليها البناء، هذه والله فرية ما فيها مرية.</w:t>
      </w:r>
    </w:p>
    <w:p w:rsidR="00306090" w:rsidRPr="00306090" w:rsidRDefault="00306090" w:rsidP="00306090">
      <w:pPr>
        <w:pStyle w:val="NormalWeb"/>
        <w:bidi/>
        <w:spacing w:before="0" w:beforeAutospacing="0" w:after="120" w:afterAutospacing="0" w:line="276" w:lineRule="auto"/>
        <w:jc w:val="lowKashida"/>
        <w:rPr>
          <w:rFonts w:asciiTheme="majorBidi" w:hAnsiTheme="majorBidi" w:cstheme="majorBidi"/>
          <w:b/>
          <w:bCs/>
          <w:sz w:val="20"/>
          <w:szCs w:val="20"/>
          <w:rtl/>
        </w:rPr>
      </w:pPr>
      <w:r w:rsidRPr="00306090">
        <w:rPr>
          <w:rFonts w:asciiTheme="majorBidi" w:hAnsiTheme="majorBidi" w:cstheme="majorBidi"/>
          <w:b/>
          <w:bCs/>
          <w:color w:val="000080"/>
          <w:sz w:val="20"/>
          <w:szCs w:val="20"/>
          <w:rtl/>
          <w:lang w:bidi="ar-EG"/>
        </w:rPr>
        <w:t>ثانيًا:</w:t>
      </w:r>
      <w:r w:rsidRPr="00306090">
        <w:rPr>
          <w:rFonts w:asciiTheme="majorBidi" w:hAnsiTheme="majorBidi" w:cstheme="majorBidi"/>
          <w:b/>
          <w:bCs/>
          <w:sz w:val="20"/>
          <w:szCs w:val="20"/>
          <w:rtl/>
          <w:lang w:bidi="ar-EG"/>
        </w:rPr>
        <w:t xml:space="preserve"> ما سبق من بيان الصحابة </w:t>
      </w:r>
      <w:r w:rsidRPr="00306090">
        <w:rPr>
          <w:rFonts w:asciiTheme="majorBidi" w:hAnsiTheme="majorBidi" w:cstheme="majorBidi"/>
          <w:b/>
          <w:bCs/>
          <w:position w:val="-4"/>
          <w:sz w:val="20"/>
          <w:szCs w:val="20"/>
          <w:rtl/>
          <w:lang w:bidi="ar-EG"/>
        </w:rPr>
        <w:t>}</w:t>
      </w:r>
      <w:r w:rsidRPr="00306090">
        <w:rPr>
          <w:rFonts w:asciiTheme="majorBidi" w:hAnsiTheme="majorBidi" w:cstheme="majorBidi"/>
          <w:b/>
          <w:bCs/>
          <w:sz w:val="20"/>
          <w:szCs w:val="20"/>
          <w:rtl/>
          <w:lang w:bidi="ar-EG"/>
        </w:rPr>
        <w:t xml:space="preserve"> لم يكتبوا مصحفًا واحدًا، بل كتبوا عدة مصاحف، وأن أحدًا لم يذكر أي المصاحف التي وقع فيه الخطأ، ويبعد اتفاق جميع المصاحف على ذلك الخطأ المزعوم، قال الإمام الطبري -</w:t>
      </w:r>
      <w:r w:rsidRPr="00306090">
        <w:rPr>
          <w:rFonts w:asciiTheme="majorBidi" w:hAnsiTheme="majorBidi" w:cstheme="majorBidi"/>
          <w:b/>
          <w:bCs/>
          <w:sz w:val="20"/>
          <w:szCs w:val="20"/>
          <w:rtl/>
          <w:lang w:bidi="ar-EG"/>
        </w:rPr>
        <w:lastRenderedPageBreak/>
        <w:t xml:space="preserve">رحمه الله- تعليقًا على أثر من الآثار السابقة المنسوبة لابن عباس </w:t>
      </w:r>
      <w:r w:rsidRPr="00306090">
        <w:rPr>
          <w:rFonts w:asciiTheme="majorBidi" w:hAnsiTheme="majorBidi" w:cstheme="majorBidi"/>
          <w:b/>
          <w:bCs/>
          <w:position w:val="-4"/>
          <w:sz w:val="20"/>
          <w:szCs w:val="20"/>
          <w:rtl/>
          <w:lang w:bidi="ar-EG"/>
        </w:rPr>
        <w:t>{</w:t>
      </w:r>
      <w:r w:rsidRPr="00306090">
        <w:rPr>
          <w:rFonts w:asciiTheme="majorBidi" w:hAnsiTheme="majorBidi" w:cstheme="majorBidi"/>
          <w:b/>
          <w:bCs/>
          <w:sz w:val="20"/>
          <w:szCs w:val="20"/>
          <w:rtl/>
          <w:lang w:bidi="ar-EG"/>
        </w:rPr>
        <w:t>:فلو كان ذلك خطأ من الكاتب لكان الواجب أن يكون في كل المصاحف بخلاف ما هو في مصحفنا، ثم يقول الطبري بعدها: وفي نقل المسلمين جميعًا لذلك قراءة على ما هو به في الخط مرسومًا أدل الدليل على صحة ذلك وصوابه، وأن لا صنع في ذلك للكاتب.</w:t>
      </w:r>
    </w:p>
    <w:p w:rsidR="00306090" w:rsidRPr="00306090" w:rsidRDefault="00306090" w:rsidP="00306090">
      <w:pPr>
        <w:pStyle w:val="NormalWeb"/>
        <w:bidi/>
        <w:spacing w:before="0" w:beforeAutospacing="0" w:after="120" w:afterAutospacing="0" w:line="276" w:lineRule="auto"/>
        <w:jc w:val="lowKashida"/>
        <w:rPr>
          <w:rFonts w:asciiTheme="majorBidi" w:hAnsiTheme="majorBidi" w:cstheme="majorBidi"/>
          <w:b/>
          <w:bCs/>
          <w:sz w:val="20"/>
          <w:szCs w:val="20"/>
          <w:rtl/>
        </w:rPr>
      </w:pPr>
      <w:r w:rsidRPr="00306090">
        <w:rPr>
          <w:rFonts w:asciiTheme="majorBidi" w:hAnsiTheme="majorBidi" w:cstheme="majorBidi"/>
          <w:b/>
          <w:bCs/>
          <w:color w:val="000080"/>
          <w:sz w:val="20"/>
          <w:szCs w:val="20"/>
          <w:rtl/>
          <w:lang w:bidi="ar-EG"/>
        </w:rPr>
        <w:t>ثالثًا:</w:t>
      </w:r>
      <w:r w:rsidRPr="00306090">
        <w:rPr>
          <w:rFonts w:asciiTheme="majorBidi" w:hAnsiTheme="majorBidi" w:cstheme="majorBidi"/>
          <w:b/>
          <w:bCs/>
          <w:sz w:val="20"/>
          <w:szCs w:val="20"/>
          <w:rtl/>
          <w:lang w:bidi="ar-EG"/>
        </w:rPr>
        <w:t xml:space="preserve"> إذا سلمنا بصحة تلك الروايات فإننا نردها؛ لأنها معارضة للقاطع المتواتر من القرآن الكريم، وكما قلنا قبل ذلك: فإن معارض القاطع ساقط لا يلتفت إليه، والقراءة التي تخالف رسم المصحف هي قراءة شاذة لا يلتفت إليها ولا يعول عليها. </w:t>
      </w:r>
    </w:p>
    <w:p w:rsidR="00306090" w:rsidRPr="00306090" w:rsidRDefault="00306090" w:rsidP="00306090">
      <w:pPr>
        <w:pStyle w:val="NormalWeb"/>
        <w:bidi/>
        <w:spacing w:before="0" w:beforeAutospacing="0" w:after="120" w:afterAutospacing="0" w:line="276" w:lineRule="auto"/>
        <w:jc w:val="lowKashida"/>
        <w:rPr>
          <w:rFonts w:asciiTheme="majorBidi" w:hAnsiTheme="majorBidi" w:cstheme="majorBidi"/>
          <w:b/>
          <w:bCs/>
          <w:sz w:val="20"/>
          <w:szCs w:val="20"/>
          <w:rtl/>
        </w:rPr>
      </w:pPr>
      <w:r w:rsidRPr="00306090">
        <w:rPr>
          <w:rFonts w:asciiTheme="majorBidi" w:hAnsiTheme="majorBidi" w:cstheme="majorBidi"/>
          <w:b/>
          <w:bCs/>
          <w:sz w:val="20"/>
          <w:szCs w:val="20"/>
          <w:rtl/>
          <w:lang w:bidi="ar-EG"/>
        </w:rPr>
        <w:t>قال شيخ الإسلام ابن تيمية -رحمه الله-: ومن زعم أن الكاتب قد غلط فهو الغالط غلطًا منكرًا؛ فإن المصحف منقول بالتواتر، وقد كتبت عدة مصاحف، فكيف يتصور في هذا غلط؟.</w:t>
      </w:r>
    </w:p>
    <w:p w:rsidR="00306090" w:rsidRPr="00306090" w:rsidRDefault="00306090" w:rsidP="00306090">
      <w:pPr>
        <w:pStyle w:val="NormalWeb"/>
        <w:bidi/>
        <w:spacing w:before="0" w:beforeAutospacing="0" w:after="120" w:afterAutospacing="0" w:line="276" w:lineRule="auto"/>
        <w:jc w:val="lowKashida"/>
        <w:rPr>
          <w:rFonts w:asciiTheme="majorBidi" w:hAnsiTheme="majorBidi" w:cstheme="majorBidi"/>
          <w:b/>
          <w:bCs/>
          <w:spacing w:val="-4"/>
          <w:sz w:val="20"/>
          <w:szCs w:val="20"/>
          <w:rtl/>
        </w:rPr>
      </w:pPr>
      <w:r w:rsidRPr="00306090">
        <w:rPr>
          <w:rFonts w:asciiTheme="majorBidi" w:hAnsiTheme="majorBidi" w:cstheme="majorBidi"/>
          <w:b/>
          <w:bCs/>
          <w:color w:val="000080"/>
          <w:spacing w:val="-4"/>
          <w:sz w:val="20"/>
          <w:szCs w:val="20"/>
          <w:rtl/>
          <w:lang w:bidi="ar-EG"/>
        </w:rPr>
        <w:t>رابعًا:</w:t>
      </w:r>
      <w:r w:rsidRPr="00306090">
        <w:rPr>
          <w:rFonts w:asciiTheme="majorBidi" w:hAnsiTheme="majorBidi" w:cstheme="majorBidi"/>
          <w:b/>
          <w:bCs/>
          <w:spacing w:val="-4"/>
          <w:sz w:val="20"/>
          <w:szCs w:val="20"/>
          <w:rtl/>
          <w:lang w:bidi="ar-EG"/>
        </w:rPr>
        <w:t xml:space="preserve"> تدفع هذه الروايات الواردة عن ابن عباس </w:t>
      </w:r>
      <w:r w:rsidRPr="00306090">
        <w:rPr>
          <w:rFonts w:asciiTheme="majorBidi" w:hAnsiTheme="majorBidi" w:cstheme="majorBidi"/>
          <w:b/>
          <w:bCs/>
          <w:spacing w:val="-4"/>
          <w:position w:val="-4"/>
          <w:sz w:val="20"/>
          <w:szCs w:val="20"/>
          <w:rtl/>
          <w:lang w:bidi="ar-EG"/>
        </w:rPr>
        <w:t>{</w:t>
      </w:r>
      <w:r w:rsidRPr="00306090">
        <w:rPr>
          <w:rFonts w:asciiTheme="majorBidi" w:hAnsiTheme="majorBidi" w:cstheme="majorBidi"/>
          <w:b/>
          <w:bCs/>
          <w:spacing w:val="-4"/>
          <w:sz w:val="20"/>
          <w:szCs w:val="20"/>
          <w:rtl/>
          <w:lang w:bidi="ar-EG"/>
        </w:rPr>
        <w:t xml:space="preserve"> بوجه عام بأن نقول: إن ابن عباس قد أخذ القرآن عن زيد بن ثابت وعن أبي بن كعب، وقد كانا في جمع المصاحف في زمن عثمان </w:t>
      </w:r>
      <w:r w:rsidRPr="00306090">
        <w:rPr>
          <w:rFonts w:asciiTheme="majorBidi" w:hAnsiTheme="majorBidi" w:cstheme="majorBidi"/>
          <w:b/>
          <w:bCs/>
          <w:spacing w:val="-4"/>
          <w:position w:val="-4"/>
          <w:sz w:val="20"/>
          <w:szCs w:val="20"/>
          <w:rtl/>
          <w:lang w:bidi="ar-EG"/>
        </w:rPr>
        <w:t>&gt;</w:t>
      </w:r>
      <w:r w:rsidRPr="00306090">
        <w:rPr>
          <w:rFonts w:asciiTheme="majorBidi" w:hAnsiTheme="majorBidi" w:cstheme="majorBidi"/>
          <w:b/>
          <w:bCs/>
          <w:spacing w:val="-4"/>
          <w:sz w:val="20"/>
          <w:szCs w:val="20"/>
          <w:rtl/>
          <w:lang w:bidi="ar-EG"/>
        </w:rPr>
        <w:t xml:space="preserve"> وكان زيد هو الذي جمع القرآن بأمر أبي بكر الصديق </w:t>
      </w:r>
      <w:r w:rsidRPr="00306090">
        <w:rPr>
          <w:rFonts w:asciiTheme="majorBidi" w:hAnsiTheme="majorBidi" w:cstheme="majorBidi"/>
          <w:b/>
          <w:bCs/>
          <w:spacing w:val="-4"/>
          <w:position w:val="-4"/>
          <w:sz w:val="20"/>
          <w:szCs w:val="20"/>
          <w:rtl/>
          <w:lang w:bidi="ar-EG"/>
        </w:rPr>
        <w:t>&gt;</w:t>
      </w:r>
      <w:r w:rsidRPr="00306090">
        <w:rPr>
          <w:rFonts w:asciiTheme="majorBidi" w:hAnsiTheme="majorBidi" w:cstheme="majorBidi"/>
          <w:b/>
          <w:bCs/>
          <w:spacing w:val="-4"/>
          <w:sz w:val="20"/>
          <w:szCs w:val="20"/>
          <w:rtl/>
          <w:lang w:bidi="ar-EG"/>
        </w:rPr>
        <w:t xml:space="preserve"> أيضًا، وكان زيد هو كاتب الوحي، وكان يكتب بأمر النبي </w:t>
      </w:r>
      <w:r w:rsidRPr="00306090">
        <w:rPr>
          <w:rFonts w:asciiTheme="majorBidi" w:hAnsiTheme="majorBidi" w:cstheme="majorBidi"/>
          <w:b/>
          <w:bCs/>
          <w:spacing w:val="-4"/>
          <w:position w:val="-4"/>
          <w:sz w:val="20"/>
          <w:szCs w:val="20"/>
          <w:lang w:bidi="ar-EG"/>
        </w:rPr>
        <w:t></w:t>
      </w:r>
      <w:r w:rsidRPr="00306090">
        <w:rPr>
          <w:rFonts w:asciiTheme="majorBidi" w:hAnsiTheme="majorBidi" w:cstheme="majorBidi"/>
          <w:b/>
          <w:bCs/>
          <w:spacing w:val="-4"/>
          <w:sz w:val="20"/>
          <w:szCs w:val="20"/>
          <w:rtl/>
          <w:lang w:bidi="ar-EG"/>
        </w:rPr>
        <w:t xml:space="preserve"> وإقراره، وابن عباس كان يعرف له ذلك، فمن غير المعقول أن يأخذ عنهما القرآن، ثم يطعن فيما كتباه في المصاحف؛ أي من غير المعقول أن يأخذ ابن عباس عن زيد بن ثابت وعن أبي بن كعب ثم يطعن عليهما بعد ذلك فيما أثبتاه في المصاحف العثمانية، ويدل على ذلك أن عبد الله بن عباس </w:t>
      </w:r>
      <w:r w:rsidRPr="00306090">
        <w:rPr>
          <w:rFonts w:asciiTheme="majorBidi" w:hAnsiTheme="majorBidi" w:cstheme="majorBidi"/>
          <w:b/>
          <w:bCs/>
          <w:spacing w:val="-4"/>
          <w:position w:val="-4"/>
          <w:sz w:val="20"/>
          <w:szCs w:val="20"/>
          <w:rtl/>
          <w:lang w:bidi="ar-EG"/>
        </w:rPr>
        <w:t>{</w:t>
      </w:r>
      <w:r w:rsidRPr="00306090">
        <w:rPr>
          <w:rFonts w:asciiTheme="majorBidi" w:hAnsiTheme="majorBidi" w:cstheme="majorBidi"/>
          <w:b/>
          <w:bCs/>
          <w:spacing w:val="-4"/>
          <w:sz w:val="20"/>
          <w:szCs w:val="20"/>
          <w:rtl/>
          <w:lang w:bidi="ar-EG"/>
        </w:rPr>
        <w:t xml:space="preserve"> كان من صغار الصحابة، وقد قرأ القرآن على أبي بن كعب وزيد بن ثابت، وقد روى القراءة عن عبد الله بن عباس أبو جعفر ونافع وابن كثير وأبو عمر وغيرهم من القراء، وليس في قراءتهم شيء مما تعلق به الطاعنون، بل قراءة بن عباس موافقة لقراءة الجماعة. </w:t>
      </w:r>
    </w:p>
    <w:p w:rsidR="00306090" w:rsidRPr="00306090" w:rsidRDefault="00306090" w:rsidP="00306090">
      <w:pPr>
        <w:spacing w:after="120"/>
        <w:jc w:val="center"/>
        <w:rPr>
          <w:rFonts w:asciiTheme="majorBidi" w:hAnsiTheme="majorBidi" w:cstheme="majorBidi"/>
          <w:b/>
          <w:bCs/>
          <w:sz w:val="20"/>
          <w:szCs w:val="20"/>
          <w:rtl/>
        </w:rPr>
      </w:pPr>
      <w:r w:rsidRPr="00306090">
        <w:rPr>
          <w:rFonts w:asciiTheme="majorBidi" w:hAnsiTheme="majorBidi" w:cstheme="majorBidi"/>
          <w:b/>
          <w:bCs/>
          <w:sz w:val="20"/>
          <w:szCs w:val="20"/>
          <w:rtl/>
        </w:rPr>
        <w:t>المصادر والمراجع</w:t>
      </w:r>
    </w:p>
    <w:p w:rsidR="00306090" w:rsidRPr="00306090" w:rsidRDefault="00306090" w:rsidP="00306090">
      <w:pPr>
        <w:numPr>
          <w:ilvl w:val="0"/>
          <w:numId w:val="2"/>
        </w:numPr>
        <w:spacing w:after="120"/>
        <w:jc w:val="lowKashida"/>
        <w:rPr>
          <w:rFonts w:asciiTheme="majorBidi" w:hAnsiTheme="majorBidi" w:cstheme="majorBidi"/>
          <w:b/>
          <w:bCs/>
          <w:sz w:val="20"/>
          <w:szCs w:val="20"/>
          <w:rtl/>
        </w:rPr>
      </w:pPr>
      <w:r w:rsidRPr="00306090">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306090" w:rsidRPr="00306090" w:rsidRDefault="00306090" w:rsidP="00306090">
      <w:pPr>
        <w:numPr>
          <w:ilvl w:val="0"/>
          <w:numId w:val="2"/>
        </w:numPr>
        <w:spacing w:after="120"/>
        <w:jc w:val="lowKashida"/>
        <w:rPr>
          <w:rFonts w:asciiTheme="majorBidi" w:hAnsiTheme="majorBidi" w:cstheme="majorBidi"/>
          <w:b/>
          <w:bCs/>
          <w:sz w:val="20"/>
          <w:szCs w:val="20"/>
          <w:rtl/>
        </w:rPr>
      </w:pPr>
      <w:r w:rsidRPr="00306090">
        <w:rPr>
          <w:rFonts w:asciiTheme="majorBidi" w:hAnsiTheme="majorBidi" w:cstheme="majorBidi"/>
          <w:b/>
          <w:bCs/>
          <w:sz w:val="20"/>
          <w:szCs w:val="20"/>
          <w:rtl/>
        </w:rPr>
        <w:lastRenderedPageBreak/>
        <w:t>الزركشي، بدر الدين الزركشي، تحقيق: محمد أبو الفضل إبراهيم،  (البرهان في علوم القرآن) ، بيروت، نشر دار المعرفة، 2001م</w:t>
      </w:r>
    </w:p>
    <w:p w:rsidR="00306090" w:rsidRPr="00306090" w:rsidRDefault="00306090" w:rsidP="00306090">
      <w:pPr>
        <w:numPr>
          <w:ilvl w:val="0"/>
          <w:numId w:val="2"/>
        </w:numPr>
        <w:spacing w:after="120"/>
        <w:jc w:val="lowKashida"/>
        <w:rPr>
          <w:rFonts w:asciiTheme="majorBidi" w:hAnsiTheme="majorBidi" w:cstheme="majorBidi"/>
          <w:b/>
          <w:bCs/>
          <w:sz w:val="20"/>
          <w:szCs w:val="20"/>
        </w:rPr>
      </w:pPr>
      <w:r w:rsidRPr="00306090">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306090" w:rsidRPr="00306090" w:rsidRDefault="00306090" w:rsidP="00306090">
      <w:pPr>
        <w:numPr>
          <w:ilvl w:val="0"/>
          <w:numId w:val="2"/>
        </w:numPr>
        <w:spacing w:after="120"/>
        <w:jc w:val="lowKashida"/>
        <w:rPr>
          <w:rFonts w:asciiTheme="majorBidi" w:hAnsiTheme="majorBidi" w:cstheme="majorBidi"/>
          <w:b/>
          <w:bCs/>
          <w:sz w:val="20"/>
          <w:szCs w:val="20"/>
        </w:rPr>
      </w:pPr>
      <w:r w:rsidRPr="00306090">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306090" w:rsidRPr="00306090" w:rsidRDefault="00306090" w:rsidP="00306090">
      <w:pPr>
        <w:numPr>
          <w:ilvl w:val="0"/>
          <w:numId w:val="2"/>
        </w:numPr>
        <w:spacing w:after="120"/>
        <w:jc w:val="lowKashida"/>
        <w:rPr>
          <w:rFonts w:asciiTheme="majorBidi" w:hAnsiTheme="majorBidi" w:cstheme="majorBidi"/>
          <w:b/>
          <w:bCs/>
          <w:sz w:val="20"/>
          <w:szCs w:val="20"/>
          <w:rtl/>
        </w:rPr>
      </w:pPr>
      <w:r w:rsidRPr="00306090">
        <w:rPr>
          <w:rFonts w:asciiTheme="majorBidi" w:hAnsiTheme="majorBidi" w:cstheme="majorBidi"/>
          <w:b/>
          <w:bCs/>
          <w:sz w:val="20"/>
          <w:szCs w:val="20"/>
          <w:rtl/>
        </w:rPr>
        <w:t>أبي داود، ابن أبي داود، تحقيق: محب الدين واعظ، (المصاحف) ، دار البشائر الإسلامية، 2002م</w:t>
      </w:r>
    </w:p>
    <w:p w:rsidR="00306090" w:rsidRPr="00306090" w:rsidRDefault="00306090" w:rsidP="00306090">
      <w:pPr>
        <w:numPr>
          <w:ilvl w:val="0"/>
          <w:numId w:val="2"/>
        </w:numPr>
        <w:spacing w:after="120"/>
        <w:jc w:val="lowKashida"/>
        <w:rPr>
          <w:rFonts w:asciiTheme="majorBidi" w:hAnsiTheme="majorBidi" w:cstheme="majorBidi"/>
          <w:b/>
          <w:bCs/>
          <w:sz w:val="20"/>
          <w:szCs w:val="20"/>
        </w:rPr>
      </w:pPr>
      <w:r w:rsidRPr="00306090">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306090" w:rsidRPr="00306090" w:rsidRDefault="00306090" w:rsidP="00306090">
      <w:pPr>
        <w:numPr>
          <w:ilvl w:val="0"/>
          <w:numId w:val="2"/>
        </w:numPr>
        <w:spacing w:after="120"/>
        <w:jc w:val="lowKashida"/>
        <w:rPr>
          <w:rFonts w:asciiTheme="majorBidi" w:hAnsiTheme="majorBidi" w:cstheme="majorBidi"/>
          <w:b/>
          <w:bCs/>
          <w:sz w:val="20"/>
          <w:szCs w:val="20"/>
          <w:rtl/>
        </w:rPr>
      </w:pPr>
      <w:r w:rsidRPr="00306090">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306090" w:rsidRPr="00306090" w:rsidRDefault="00306090" w:rsidP="00306090">
      <w:pPr>
        <w:numPr>
          <w:ilvl w:val="0"/>
          <w:numId w:val="2"/>
        </w:numPr>
        <w:spacing w:after="120"/>
        <w:jc w:val="lowKashida"/>
        <w:rPr>
          <w:rFonts w:asciiTheme="majorBidi" w:hAnsiTheme="majorBidi" w:cstheme="majorBidi"/>
          <w:b/>
          <w:bCs/>
          <w:sz w:val="20"/>
          <w:szCs w:val="20"/>
          <w:rtl/>
        </w:rPr>
      </w:pPr>
      <w:r w:rsidRPr="00306090">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306090" w:rsidRPr="00306090" w:rsidRDefault="00306090" w:rsidP="00306090">
      <w:pPr>
        <w:numPr>
          <w:ilvl w:val="0"/>
          <w:numId w:val="2"/>
        </w:numPr>
        <w:spacing w:after="120"/>
        <w:jc w:val="lowKashida"/>
        <w:rPr>
          <w:rFonts w:asciiTheme="majorBidi" w:hAnsiTheme="majorBidi" w:cstheme="majorBidi"/>
          <w:b/>
          <w:bCs/>
          <w:sz w:val="20"/>
          <w:szCs w:val="20"/>
        </w:rPr>
      </w:pPr>
      <w:r w:rsidRPr="00306090">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306090" w:rsidRPr="00306090" w:rsidRDefault="00306090" w:rsidP="00306090">
      <w:pPr>
        <w:numPr>
          <w:ilvl w:val="0"/>
          <w:numId w:val="2"/>
        </w:numPr>
        <w:spacing w:after="120"/>
        <w:jc w:val="lowKashida"/>
        <w:rPr>
          <w:rFonts w:asciiTheme="majorBidi" w:hAnsiTheme="majorBidi" w:cstheme="majorBidi"/>
          <w:b/>
          <w:bCs/>
          <w:sz w:val="20"/>
          <w:szCs w:val="20"/>
        </w:rPr>
      </w:pPr>
      <w:r w:rsidRPr="00306090">
        <w:rPr>
          <w:rFonts w:asciiTheme="majorBidi" w:hAnsiTheme="majorBidi" w:cstheme="majorBidi"/>
          <w:b/>
          <w:bCs/>
          <w:sz w:val="20"/>
          <w:szCs w:val="20"/>
          <w:rtl/>
        </w:rPr>
        <w:t>أبو زهرة، محمد أبو زهرة، (المعجزة الكبرى القرآن)  ، دار طيب للنشر، 2003م</w:t>
      </w:r>
    </w:p>
    <w:p w:rsidR="00306090" w:rsidRPr="00306090" w:rsidRDefault="00306090" w:rsidP="00306090">
      <w:pPr>
        <w:numPr>
          <w:ilvl w:val="0"/>
          <w:numId w:val="2"/>
        </w:numPr>
        <w:spacing w:after="120"/>
        <w:jc w:val="lowKashida"/>
        <w:rPr>
          <w:rFonts w:asciiTheme="majorBidi" w:hAnsiTheme="majorBidi" w:cstheme="majorBidi"/>
          <w:b/>
          <w:bCs/>
          <w:sz w:val="20"/>
          <w:szCs w:val="20"/>
        </w:rPr>
      </w:pPr>
      <w:r w:rsidRPr="00306090">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306090" w:rsidRPr="00306090" w:rsidRDefault="00306090" w:rsidP="00306090">
      <w:pPr>
        <w:numPr>
          <w:ilvl w:val="0"/>
          <w:numId w:val="2"/>
        </w:numPr>
        <w:spacing w:after="120"/>
        <w:jc w:val="lowKashida"/>
        <w:rPr>
          <w:rFonts w:asciiTheme="majorBidi" w:hAnsiTheme="majorBidi" w:cstheme="majorBidi"/>
          <w:b/>
          <w:bCs/>
          <w:sz w:val="20"/>
          <w:szCs w:val="20"/>
        </w:rPr>
      </w:pPr>
      <w:r w:rsidRPr="00306090">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306090" w:rsidRPr="00306090" w:rsidRDefault="00306090" w:rsidP="00306090">
      <w:pPr>
        <w:rPr>
          <w:rFonts w:asciiTheme="majorBidi" w:hAnsiTheme="majorBidi" w:cstheme="majorBidi"/>
          <w:rtl/>
        </w:rPr>
        <w:sectPr w:rsidR="00306090" w:rsidRPr="00306090" w:rsidSect="00306090">
          <w:type w:val="continuous"/>
          <w:pgSz w:w="11906" w:h="16838"/>
          <w:pgMar w:top="964" w:right="1021" w:bottom="964" w:left="1021" w:header="709" w:footer="709" w:gutter="0"/>
          <w:cols w:num="2" w:space="708"/>
          <w:bidi/>
          <w:rtlGutter/>
          <w:docGrid w:linePitch="360"/>
        </w:sectPr>
      </w:pPr>
    </w:p>
    <w:p w:rsidR="00306090" w:rsidRPr="00306090" w:rsidRDefault="00306090" w:rsidP="00306090">
      <w:pPr>
        <w:rPr>
          <w:rFonts w:asciiTheme="majorBidi" w:hAnsiTheme="majorBidi" w:cstheme="majorBidi"/>
        </w:rPr>
      </w:pPr>
    </w:p>
    <w:sectPr w:rsidR="00306090" w:rsidRPr="00306090" w:rsidSect="00306090">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DecoType Thuluth">
    <w:altName w:val="Times New Roman"/>
    <w:charset w:val="B2"/>
    <w:family w:val="auto"/>
    <w:pitch w:val="variable"/>
    <w:sig w:usb0="00002000" w:usb1="80000000" w:usb2="00000008" w:usb3="00000000" w:csb0="00000040" w:csb1="00000000"/>
  </w:font>
  <w:font w:name="QCF_P352">
    <w:panose1 w:val="02000400000000000000"/>
    <w:charset w:val="00"/>
    <w:family w:val="auto"/>
    <w:pitch w:val="variable"/>
    <w:sig w:usb0="80002003" w:usb1="90000000" w:usb2="00000008" w:usb3="00000000" w:csb0="80000041" w:csb1="00000000"/>
  </w:font>
  <w:font w:name="QCF_P253">
    <w:panose1 w:val="02000400000000000000"/>
    <w:charset w:val="00"/>
    <w:family w:val="auto"/>
    <w:pitch w:val="variable"/>
    <w:sig w:usb0="80002003" w:usb1="90000000" w:usb2="00000008" w:usb3="00000000" w:csb0="80000041" w:csb1="00000000"/>
  </w:font>
  <w:font w:name="QCF_P35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D9D2FAA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306090"/>
    <w:rsid w:val="00101E73"/>
    <w:rsid w:val="001F1E55"/>
    <w:rsid w:val="00271A29"/>
    <w:rsid w:val="00306090"/>
    <w:rsid w:val="0039305A"/>
    <w:rsid w:val="00514443"/>
    <w:rsid w:val="009556CB"/>
    <w:rsid w:val="00BF7572"/>
    <w:rsid w:val="00D855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306090"/>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30609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0609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930</Words>
  <Characters>5302</Characters>
  <Application>Microsoft Office Word</Application>
  <DocSecurity>0</DocSecurity>
  <Lines>44</Lines>
  <Paragraphs>12</Paragraphs>
  <ScaleCrop>false</ScaleCrop>
  <Company/>
  <LinksUpToDate>false</LinksUpToDate>
  <CharactersWithSpaces>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3</cp:revision>
  <dcterms:created xsi:type="dcterms:W3CDTF">2013-06-23T07:53:00Z</dcterms:created>
  <dcterms:modified xsi:type="dcterms:W3CDTF">2013-06-26T21:50:00Z</dcterms:modified>
</cp:coreProperties>
</file>