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0C69FB" w:rsidP="000C69FB">
      <w:pPr>
        <w:spacing w:line="240" w:lineRule="auto"/>
        <w:jc w:val="center"/>
        <w:rPr>
          <w:rtl/>
        </w:rPr>
      </w:pPr>
      <w:r w:rsidRPr="00B82641">
        <w:rPr>
          <w:rFonts w:asciiTheme="majorBidi" w:eastAsia="Calibri" w:hAnsiTheme="majorBidi" w:cstheme="majorBidi"/>
          <w:sz w:val="48"/>
          <w:szCs w:val="48"/>
          <w:rtl/>
        </w:rPr>
        <w:t>الوجوه من العاشر إلى الثالث عشر في الرد على ادعاء أن القرآن من تأليف النبي</w:t>
      </w:r>
    </w:p>
    <w:p w:rsidR="000C69FB" w:rsidRPr="000C69FB" w:rsidRDefault="000C69FB" w:rsidP="000C69FB">
      <w:pPr>
        <w:spacing w:line="240" w:lineRule="auto"/>
        <w:jc w:val="center"/>
        <w:rPr>
          <w:sz w:val="48"/>
          <w:szCs w:val="48"/>
          <w:rtl/>
        </w:rPr>
      </w:pPr>
      <w:r w:rsidRPr="000C69FB">
        <w:rPr>
          <w:rFonts w:hint="cs"/>
          <w:sz w:val="48"/>
          <w:szCs w:val="48"/>
          <w:rtl/>
        </w:rPr>
        <w:t>(1)</w:t>
      </w:r>
    </w:p>
    <w:p w:rsidR="0030396F" w:rsidRPr="00634035" w:rsidRDefault="0030396F" w:rsidP="0030396F">
      <w:pPr>
        <w:pStyle w:val="papersubtitle"/>
        <w:bidi/>
        <w:rPr>
          <w:i/>
          <w:iCs/>
          <w:rtl/>
        </w:rPr>
      </w:pPr>
      <w:r w:rsidRPr="00634035">
        <w:rPr>
          <w:i/>
          <w:iCs/>
          <w:rtl/>
        </w:rPr>
        <w:t xml:space="preserve">بحث  فى </w:t>
      </w:r>
      <w:r w:rsidRPr="00634035">
        <w:rPr>
          <w:rFonts w:hint="cs"/>
          <w:i/>
          <w:iCs/>
          <w:rtl/>
        </w:rPr>
        <w:t>دفاع عن القراَن</w:t>
      </w:r>
    </w:p>
    <w:p w:rsidR="0030396F" w:rsidRPr="009264EA" w:rsidRDefault="0030396F" w:rsidP="0030396F">
      <w:pPr>
        <w:pStyle w:val="papersubtitle"/>
        <w:bidi/>
        <w:rPr>
          <w:i/>
          <w:iCs/>
          <w:sz w:val="24"/>
          <w:szCs w:val="24"/>
        </w:rPr>
      </w:pPr>
      <w:r w:rsidRPr="009264EA">
        <w:rPr>
          <w:i/>
          <w:iCs/>
          <w:sz w:val="24"/>
          <w:szCs w:val="24"/>
          <w:rtl/>
        </w:rPr>
        <w:t xml:space="preserve">إعداد أ/ </w:t>
      </w:r>
      <w:r w:rsidRPr="00982C7F">
        <w:rPr>
          <w:rFonts w:hint="cs"/>
          <w:i/>
          <w:iCs/>
          <w:sz w:val="24"/>
          <w:szCs w:val="24"/>
          <w:rtl/>
        </w:rPr>
        <w:t>عادل</w:t>
      </w:r>
      <w:r w:rsidRPr="00982C7F">
        <w:rPr>
          <w:i/>
          <w:iCs/>
          <w:sz w:val="24"/>
          <w:szCs w:val="24"/>
          <w:rtl/>
        </w:rPr>
        <w:t xml:space="preserve"> </w:t>
      </w:r>
      <w:r w:rsidRPr="00982C7F">
        <w:rPr>
          <w:rFonts w:hint="cs"/>
          <w:i/>
          <w:iCs/>
          <w:sz w:val="24"/>
          <w:szCs w:val="24"/>
          <w:rtl/>
        </w:rPr>
        <w:t>محمد</w:t>
      </w:r>
      <w:r w:rsidRPr="00982C7F">
        <w:rPr>
          <w:i/>
          <w:iCs/>
          <w:sz w:val="24"/>
          <w:szCs w:val="24"/>
          <w:rtl/>
        </w:rPr>
        <w:t xml:space="preserve"> </w:t>
      </w:r>
      <w:r w:rsidRPr="00982C7F">
        <w:rPr>
          <w:rFonts w:hint="cs"/>
          <w:i/>
          <w:iCs/>
          <w:sz w:val="24"/>
          <w:szCs w:val="24"/>
          <w:rtl/>
        </w:rPr>
        <w:t>فتحي</w:t>
      </w:r>
    </w:p>
    <w:p w:rsidR="0030396F" w:rsidRPr="009264EA" w:rsidRDefault="0030396F" w:rsidP="0030396F">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30396F" w:rsidRPr="009264EA" w:rsidRDefault="0030396F" w:rsidP="0030396F">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30396F" w:rsidRPr="009264EA" w:rsidRDefault="0030396F" w:rsidP="0030396F">
      <w:pPr>
        <w:pStyle w:val="papersubtitle"/>
        <w:bidi/>
        <w:rPr>
          <w:i/>
          <w:iCs/>
          <w:sz w:val="22"/>
          <w:szCs w:val="22"/>
          <w:rtl/>
        </w:rPr>
      </w:pPr>
      <w:r w:rsidRPr="009264EA">
        <w:rPr>
          <w:i/>
          <w:iCs/>
          <w:sz w:val="22"/>
          <w:szCs w:val="22"/>
          <w:rtl/>
        </w:rPr>
        <w:t>شاه علم – ماليزيا</w:t>
      </w:r>
    </w:p>
    <w:p w:rsidR="0030396F" w:rsidRDefault="0030396F" w:rsidP="0030396F">
      <w:pPr>
        <w:spacing w:after="120" w:line="240" w:lineRule="auto"/>
        <w:jc w:val="center"/>
        <w:rPr>
          <w:rFonts w:asciiTheme="majorBidi" w:hAnsiTheme="majorBidi" w:cstheme="majorBidi" w:hint="cs"/>
          <w:b/>
          <w:bCs/>
          <w:sz w:val="20"/>
          <w:szCs w:val="20"/>
          <w:rtl/>
          <w:lang w:bidi="ar-EG"/>
        </w:rPr>
      </w:pPr>
      <w:r w:rsidRPr="00982C7F">
        <w:rPr>
          <w:rFonts w:asciiTheme="majorBidi" w:hAnsiTheme="majorBidi" w:cs="AL-Hotham"/>
          <w:i/>
          <w:iCs/>
        </w:rPr>
        <w:t>adel.mater@mediu.edu.my</w:t>
      </w:r>
    </w:p>
    <w:p w:rsidR="0030396F" w:rsidRDefault="0030396F" w:rsidP="0030396F">
      <w:pPr>
        <w:spacing w:after="120" w:line="240" w:lineRule="auto"/>
        <w:jc w:val="center"/>
        <w:rPr>
          <w:rFonts w:asciiTheme="majorBidi" w:hAnsiTheme="majorBidi" w:cstheme="majorBidi" w:hint="cs"/>
          <w:b/>
          <w:bCs/>
          <w:sz w:val="20"/>
          <w:szCs w:val="20"/>
          <w:rtl/>
          <w:lang w:bidi="ar-EG"/>
        </w:rPr>
      </w:pPr>
    </w:p>
    <w:p w:rsidR="000C69FB" w:rsidRDefault="000C69FB" w:rsidP="000C69FB">
      <w:pPr>
        <w:spacing w:after="120" w:line="240" w:lineRule="auto"/>
        <w:rPr>
          <w:rFonts w:asciiTheme="majorBidi" w:hAnsiTheme="majorBidi" w:cstheme="majorBidi"/>
          <w:b/>
          <w:bCs/>
          <w:sz w:val="20"/>
          <w:szCs w:val="20"/>
          <w:rtl/>
          <w:lang w:bidi="ar-EG"/>
        </w:rPr>
        <w:sectPr w:rsidR="000C69FB" w:rsidSect="00BF7572">
          <w:pgSz w:w="11906" w:h="16838"/>
          <w:pgMar w:top="964" w:right="1021" w:bottom="964" w:left="1021" w:header="709" w:footer="709" w:gutter="0"/>
          <w:cols w:space="708"/>
          <w:bidi/>
          <w:rtlGutter/>
          <w:docGrid w:linePitch="360"/>
        </w:sectPr>
      </w:pPr>
    </w:p>
    <w:p w:rsidR="000C69FB" w:rsidRPr="000C69FB" w:rsidRDefault="000C69FB" w:rsidP="000C69FB">
      <w:pPr>
        <w:spacing w:after="120" w:line="240" w:lineRule="auto"/>
        <w:rPr>
          <w:rFonts w:asciiTheme="majorBidi" w:hAnsiTheme="majorBidi" w:cstheme="majorBidi"/>
          <w:b/>
          <w:bCs/>
          <w:sz w:val="20"/>
          <w:szCs w:val="20"/>
          <w:rtl/>
        </w:rPr>
      </w:pPr>
      <w:r w:rsidRPr="000C69FB">
        <w:rPr>
          <w:rFonts w:asciiTheme="majorBidi" w:hAnsiTheme="majorBidi" w:cstheme="majorBidi"/>
          <w:b/>
          <w:bCs/>
          <w:sz w:val="20"/>
          <w:szCs w:val="20"/>
          <w:rtl/>
        </w:rPr>
        <w:lastRenderedPageBreak/>
        <w:t xml:space="preserve">خلاصة ـــ هذا البحث يبحث في </w:t>
      </w:r>
      <w:r w:rsidRPr="000C69FB">
        <w:rPr>
          <w:rFonts w:asciiTheme="majorBidi" w:eastAsia="Calibri" w:hAnsiTheme="majorBidi" w:cstheme="majorBidi"/>
          <w:b/>
          <w:bCs/>
          <w:sz w:val="20"/>
          <w:szCs w:val="20"/>
          <w:rtl/>
        </w:rPr>
        <w:t>الوجوه من العاشر إلى الثالث عشر في الرد على ادعاء أن القرآن من تأليف النبي</w:t>
      </w:r>
    </w:p>
    <w:p w:rsidR="000C69FB" w:rsidRPr="000C69FB" w:rsidRDefault="000C69FB" w:rsidP="000C69FB">
      <w:pPr>
        <w:spacing w:after="120" w:line="240" w:lineRule="auto"/>
        <w:rPr>
          <w:rFonts w:asciiTheme="majorBidi" w:hAnsiTheme="majorBidi" w:cstheme="majorBidi"/>
          <w:b/>
          <w:bCs/>
          <w:sz w:val="20"/>
          <w:szCs w:val="20"/>
          <w:rtl/>
          <w:lang w:bidi="ar-EG"/>
        </w:rPr>
      </w:pPr>
      <w:r w:rsidRPr="000C69FB">
        <w:rPr>
          <w:rFonts w:asciiTheme="majorBidi" w:hAnsiTheme="majorBidi" w:cstheme="majorBidi"/>
          <w:b/>
          <w:bCs/>
          <w:sz w:val="20"/>
          <w:szCs w:val="20"/>
          <w:rtl/>
        </w:rPr>
        <w:t xml:space="preserve">الكلمات المفتاحية : </w:t>
      </w:r>
      <w:r w:rsidRPr="000C69FB">
        <w:rPr>
          <w:rFonts w:asciiTheme="majorBidi" w:hAnsiTheme="majorBidi" w:cstheme="majorBidi"/>
          <w:b/>
          <w:bCs/>
          <w:sz w:val="20"/>
          <w:szCs w:val="20"/>
          <w:rtl/>
          <w:lang w:bidi="ar-EG"/>
        </w:rPr>
        <w:t>الأعمال</w:t>
      </w:r>
      <w:r w:rsidRPr="000C69FB">
        <w:rPr>
          <w:rFonts w:asciiTheme="majorBidi" w:hAnsiTheme="majorBidi" w:cstheme="majorBidi"/>
          <w:b/>
          <w:bCs/>
          <w:sz w:val="20"/>
          <w:szCs w:val="20"/>
          <w:rtl/>
        </w:rPr>
        <w:t xml:space="preserve"> ،</w:t>
      </w:r>
      <w:r w:rsidRPr="000C69FB">
        <w:rPr>
          <w:rFonts w:asciiTheme="majorBidi" w:hAnsiTheme="majorBidi" w:cstheme="majorBidi"/>
          <w:b/>
          <w:bCs/>
          <w:sz w:val="20"/>
          <w:szCs w:val="20"/>
          <w:rtl/>
          <w:lang w:bidi="ar-EG"/>
        </w:rPr>
        <w:t xml:space="preserve"> العاقل</w:t>
      </w:r>
      <w:r w:rsidRPr="000C69FB">
        <w:rPr>
          <w:rFonts w:asciiTheme="majorBidi" w:hAnsiTheme="majorBidi" w:cstheme="majorBidi"/>
          <w:b/>
          <w:bCs/>
          <w:sz w:val="20"/>
          <w:szCs w:val="20"/>
          <w:rtl/>
        </w:rPr>
        <w:t xml:space="preserve"> ،</w:t>
      </w:r>
      <w:r w:rsidRPr="000C69FB">
        <w:rPr>
          <w:rFonts w:asciiTheme="majorBidi" w:hAnsiTheme="majorBidi" w:cstheme="majorBidi"/>
          <w:b/>
          <w:bCs/>
          <w:sz w:val="20"/>
          <w:szCs w:val="20"/>
          <w:rtl/>
          <w:lang w:bidi="ar-EG"/>
        </w:rPr>
        <w:t xml:space="preserve"> الحق</w:t>
      </w:r>
      <w:r w:rsidRPr="000C69FB">
        <w:rPr>
          <w:rFonts w:asciiTheme="majorBidi" w:hAnsiTheme="majorBidi" w:cstheme="majorBidi"/>
          <w:b/>
          <w:bCs/>
          <w:sz w:val="20"/>
          <w:szCs w:val="20"/>
          <w:rtl/>
        </w:rPr>
        <w:t xml:space="preserve"> </w:t>
      </w:r>
    </w:p>
    <w:p w:rsidR="000C69FB" w:rsidRPr="000C69FB" w:rsidRDefault="000C69FB" w:rsidP="000C69FB">
      <w:pPr>
        <w:pStyle w:val="ListParagraph"/>
        <w:numPr>
          <w:ilvl w:val="0"/>
          <w:numId w:val="1"/>
        </w:numPr>
        <w:spacing w:after="120"/>
        <w:jc w:val="center"/>
        <w:rPr>
          <w:rFonts w:asciiTheme="majorBidi" w:hAnsiTheme="majorBidi" w:cstheme="majorBidi"/>
          <w:b/>
          <w:bCs/>
          <w:sz w:val="20"/>
          <w:szCs w:val="20"/>
          <w:rtl/>
        </w:rPr>
      </w:pPr>
      <w:r w:rsidRPr="000C69FB">
        <w:rPr>
          <w:rFonts w:asciiTheme="majorBidi" w:hAnsiTheme="majorBidi" w:cstheme="majorBidi"/>
          <w:b/>
          <w:bCs/>
          <w:sz w:val="20"/>
          <w:szCs w:val="20"/>
          <w:rtl/>
        </w:rPr>
        <w:t>المقدمة</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0C69FB">
        <w:rPr>
          <w:rFonts w:asciiTheme="majorBidi" w:eastAsia="Calibri" w:hAnsiTheme="majorBidi" w:cstheme="majorBidi"/>
          <w:b/>
          <w:bCs/>
          <w:sz w:val="20"/>
          <w:szCs w:val="20"/>
          <w:rtl/>
        </w:rPr>
        <w:t>الوجوه من العاشر إلى الثالث عشر في الرد على ادعاء أن القرآن من تأليف النبي</w:t>
      </w:r>
    </w:p>
    <w:p w:rsidR="000C69FB" w:rsidRPr="000C69FB" w:rsidRDefault="000C69FB" w:rsidP="000C69FB">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0C69FB">
        <w:rPr>
          <w:rFonts w:asciiTheme="majorBidi" w:hAnsiTheme="majorBidi" w:cstheme="majorBidi"/>
          <w:b/>
          <w:bCs/>
          <w:sz w:val="20"/>
          <w:szCs w:val="20"/>
          <w:rtl/>
        </w:rPr>
        <w:t>عنوان المقال</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color w:val="000080"/>
          <w:sz w:val="20"/>
          <w:szCs w:val="20"/>
          <w:rtl/>
          <w:lang w:bidi="ar-EG"/>
        </w:rPr>
        <w:t>الوجه العاشر:</w:t>
      </w:r>
      <w:r w:rsidRPr="000C69FB">
        <w:rPr>
          <w:rFonts w:asciiTheme="majorBidi" w:hAnsiTheme="majorBidi" w:cstheme="majorBidi"/>
          <w:b/>
          <w:bCs/>
          <w:sz w:val="20"/>
          <w:szCs w:val="20"/>
          <w:rtl/>
          <w:lang w:bidi="ar-EG"/>
        </w:rPr>
        <w:t xml:space="preserve"> أليس يكفي للحكم ببراءة الإنسان من عمل من الأعمال. أن يقوم من الطبيعة شاهد بعجزه المادي عن إنتاج ذلك العمل؟</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فلينظر العاقل هل كان هذا النبي الأمي أهلًا بمقتضى وسائله العلمية لأن تجيش نفسه بتلك المعاني القرآنية؟</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سيقول الجهلاء من الملحدين: نعم، فقد كان له من ذكائه الفطري، وبصيرته النافذة ما يؤهله لإدراك الحق، والباطل من الآراء، وما يؤهله لإدراك الحسن، والقبيح من الأخلاق، وما يؤهله لإدراك الخير، والشر من الأفعال، حتى لو أن شيئًا في السماء تناله الفراسة، أو تلهمه الفطرة، أو توحي به الفكرة لتناوله النبي بفطرته السليمة، وعقله الكامل، وتأملاته الصادقة.</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هكذا يقولون، وبهذا يدعون، وهنا نتساءل: هل كل ما في القرآن هو مما يستنبطه العقل والتفكير؟ هل كل ما في القرآن هو مما يدركه الوجدان والشعور؟ كلا، فطبيعة المعاني القرآنية ليست كلها مما يدرك بالذكاء، وصدق الفراسة؛ لأن منها أنباء الماضي، والحقائق الدينية الغيبية، وأنباء المستقبل.</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وكل هذه الأمور لا تأتي لا بالفراسة، ولا بالفطرة، ولا بالفكرة بل لا بد فيها من تعليم، وتلقين، ووحي، وإخبار، ونتناول تلك الأمور بالتفصيل فيما يلي:</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color w:val="000080"/>
          <w:sz w:val="20"/>
          <w:szCs w:val="20"/>
          <w:rtl/>
          <w:lang w:bidi="ar-EG"/>
        </w:rPr>
        <w:t>أولًا:</w:t>
      </w:r>
      <w:r w:rsidRPr="000C69FB">
        <w:rPr>
          <w:rFonts w:asciiTheme="majorBidi" w:hAnsiTheme="majorBidi" w:cstheme="majorBidi"/>
          <w:b/>
          <w:bCs/>
          <w:sz w:val="20"/>
          <w:szCs w:val="20"/>
          <w:rtl/>
          <w:lang w:bidi="ar-EG"/>
        </w:rPr>
        <w:t xml:space="preserve"> أنباء الماضي لا سبيل إليها إلا بالتلقي، والدراسة، وأفصل في ذلك، فأقول: في القرآن جانب كبير من المعاني النقلية البحتة، التي لا مجال فيها للذكاء، والاستنباط، ولا سبيل إلى علمها لمن غاب عنها إلا بالدراسة، والتلقي، والتعلم، فماذا يقولون فيما قصه علينا القرآن من أنباء ما قد سبق؟ وما فصله من تلك الأنباء على وجهه الصحيح كما وقع، أيقولون: إن التاريخ يمكن وضعه أيضًا بإعمال الفكر، ودقة الفراسة؟ أم يخرجون إلى المكابرة العظمى، فيقولون: إن محمدًا قد عاصر تلك الأمم الخالية، وتنقل فيها، فشهد هذه الوقائع مع أهلها شهادة عيان؟ أو أنه ورث كتب الأولين، وعكف على دراستها حتى أصبح من الراسخين في علم دقائقها؟</w:t>
      </w:r>
    </w:p>
    <w:p w:rsidR="000C69FB" w:rsidRPr="000C69FB" w:rsidRDefault="000C69FB" w:rsidP="000C69FB">
      <w:pPr>
        <w:pStyle w:val="NormalWeb"/>
        <w:bidi/>
        <w:spacing w:before="0" w:beforeAutospacing="0" w:after="120" w:afterAutospacing="0"/>
        <w:jc w:val="both"/>
        <w:rPr>
          <w:rFonts w:asciiTheme="majorBidi" w:hAnsiTheme="majorBidi" w:cstheme="majorBidi"/>
          <w:b/>
          <w:bCs/>
          <w:sz w:val="20"/>
          <w:szCs w:val="20"/>
          <w:rtl/>
        </w:rPr>
      </w:pPr>
      <w:r w:rsidRPr="000C69FB">
        <w:rPr>
          <w:rFonts w:asciiTheme="majorBidi" w:hAnsiTheme="majorBidi" w:cstheme="majorBidi"/>
          <w:b/>
          <w:bCs/>
          <w:sz w:val="20"/>
          <w:szCs w:val="20"/>
          <w:rtl/>
          <w:lang w:bidi="ar-EG"/>
        </w:rPr>
        <w:lastRenderedPageBreak/>
        <w:t xml:space="preserve">إنهم لا يسعهم أن يقولوا هذا ولا ذاك؛ لأنهم معترفين مع العالم كله بأنه </w:t>
      </w:r>
      <w:r w:rsidRPr="000C69FB">
        <w:rPr>
          <w:rFonts w:asciiTheme="majorBidi" w:hAnsiTheme="majorBidi" w:cstheme="majorBidi"/>
          <w:b/>
          <w:bCs/>
          <w:position w:val="-4"/>
          <w:sz w:val="20"/>
          <w:szCs w:val="20"/>
          <w:lang w:bidi="ar-EG"/>
        </w:rPr>
        <w:t></w:t>
      </w:r>
      <w:r w:rsidRPr="000C69FB">
        <w:rPr>
          <w:rFonts w:asciiTheme="majorBidi" w:hAnsiTheme="majorBidi" w:cstheme="majorBidi"/>
          <w:b/>
          <w:bCs/>
          <w:sz w:val="20"/>
          <w:szCs w:val="20"/>
          <w:rtl/>
          <w:lang w:bidi="ar-EG"/>
        </w:rPr>
        <w:t xml:space="preserve"> لم يكن من أولئك، ولا من هؤلاء، قال تعالى:</w:t>
      </w:r>
      <w:r w:rsidRPr="000C69FB">
        <w:rPr>
          <w:rFonts w:ascii="Lotus Linotype" w:hAnsi="Lotus Linotype" w:cs="AL-Hotham"/>
          <w:b/>
          <w:bCs/>
          <w:sz w:val="20"/>
          <w:szCs w:val="20"/>
          <w:rtl/>
          <w:lang w:bidi="ar-EG"/>
        </w:rPr>
        <w:t xml:space="preserve"> </w:t>
      </w:r>
      <w:r w:rsidRPr="000C69FB">
        <w:rPr>
          <w:rFonts w:ascii="Lotus Linotype" w:hAnsi="Lotus Linotype" w:cs="DecoType Thuluth"/>
          <w:b/>
          <w:bCs/>
          <w:color w:val="008000"/>
          <w:sz w:val="20"/>
          <w:szCs w:val="20"/>
          <w:rtl/>
          <w:lang w:bidi="ar-EG"/>
        </w:rPr>
        <w:t>{</w:t>
      </w:r>
      <w:r w:rsidRPr="000C69FB">
        <w:rPr>
          <w:rFonts w:ascii="QCF_P055" w:hAnsi="QCF_P055" w:cs="QCF_P055"/>
          <w:b/>
          <w:bCs/>
          <w:color w:val="008000"/>
          <w:sz w:val="20"/>
          <w:szCs w:val="20"/>
          <w:rtl/>
        </w:rPr>
        <w:t>ﯟ ﯠ ﯡ ﯢ ﯣ ﯤ ﯥ ﯦ ﯧ</w:t>
      </w:r>
      <w:r w:rsidRPr="000C69FB">
        <w:rPr>
          <w:rFonts w:ascii="QCF_P055" w:hAnsi="QCF_P055" w:cs="DecoType Thuluth"/>
          <w:b/>
          <w:bCs/>
          <w:color w:val="008000"/>
          <w:sz w:val="20"/>
          <w:szCs w:val="20"/>
          <w:rtl/>
        </w:rPr>
        <w:t>}</w:t>
      </w:r>
      <w:r w:rsidRPr="000C69FB">
        <w:rPr>
          <w:rFonts w:asciiTheme="majorBidi" w:hAnsiTheme="majorBidi" w:cstheme="majorBidi"/>
          <w:b/>
          <w:bCs/>
          <w:color w:val="008000"/>
          <w:sz w:val="20"/>
          <w:szCs w:val="20"/>
          <w:rtl/>
          <w:lang w:bidi="ar-EG"/>
        </w:rPr>
        <w:t xml:space="preserve"> </w:t>
      </w:r>
      <w:r w:rsidRPr="000C69FB">
        <w:rPr>
          <w:rFonts w:asciiTheme="majorBidi" w:hAnsiTheme="majorBidi" w:cstheme="majorBidi"/>
          <w:b/>
          <w:bCs/>
          <w:sz w:val="20"/>
          <w:szCs w:val="20"/>
          <w:rtl/>
          <w:lang w:bidi="ar-EG"/>
        </w:rPr>
        <w:t>[آل عمران: 44]، وقال تعالى</w:t>
      </w:r>
      <w:r w:rsidRPr="000C69FB">
        <w:rPr>
          <w:rFonts w:ascii="Lotus Linotype" w:hAnsi="Lotus Linotype" w:cs="AL-Hotham"/>
          <w:b/>
          <w:bCs/>
          <w:sz w:val="20"/>
          <w:szCs w:val="20"/>
          <w:rtl/>
          <w:lang w:bidi="ar-EG"/>
        </w:rPr>
        <w:t xml:space="preserve">: </w:t>
      </w:r>
      <w:r w:rsidRPr="000C69FB">
        <w:rPr>
          <w:rFonts w:ascii="Lotus Linotype" w:hAnsi="Lotus Linotype" w:cs="DecoType Thuluth"/>
          <w:b/>
          <w:bCs/>
          <w:color w:val="008000"/>
          <w:sz w:val="20"/>
          <w:szCs w:val="20"/>
          <w:rtl/>
          <w:lang w:bidi="ar-EG"/>
        </w:rPr>
        <w:t>{</w:t>
      </w:r>
      <w:r w:rsidRPr="000C69FB">
        <w:rPr>
          <w:rFonts w:ascii="QCF_P247" w:hAnsi="QCF_P247" w:cs="QCF_P247"/>
          <w:b/>
          <w:bCs/>
          <w:color w:val="008000"/>
          <w:sz w:val="20"/>
          <w:szCs w:val="20"/>
          <w:rtl/>
        </w:rPr>
        <w:t>ﯾ ﯿ ﰀ ﰁ ﰂ ﰃ ﰄ ﰅ</w:t>
      </w:r>
      <w:r w:rsidRPr="000C69FB">
        <w:rPr>
          <w:rFonts w:ascii="QCF_P247" w:hAnsi="QCF_P247" w:cs="DecoType Thuluth"/>
          <w:b/>
          <w:bCs/>
          <w:color w:val="008000"/>
          <w:sz w:val="20"/>
          <w:szCs w:val="20"/>
          <w:rtl/>
        </w:rPr>
        <w:t>}</w:t>
      </w:r>
      <w:r w:rsidRPr="000C69FB">
        <w:rPr>
          <w:rFonts w:ascii="Lotus Linotype" w:hAnsi="Lotus Linotype" w:cs="AL-Hotham"/>
          <w:b/>
          <w:bCs/>
          <w:color w:val="008000"/>
          <w:sz w:val="20"/>
          <w:szCs w:val="20"/>
          <w:rtl/>
          <w:lang w:bidi="ar-EG"/>
        </w:rPr>
        <w:t xml:space="preserve"> </w:t>
      </w:r>
      <w:r w:rsidRPr="000C69FB">
        <w:rPr>
          <w:rFonts w:ascii="Lotus Linotype" w:hAnsi="Lotus Linotype" w:cs="AL-Hotham"/>
          <w:b/>
          <w:bCs/>
          <w:sz w:val="20"/>
          <w:szCs w:val="20"/>
          <w:rtl/>
          <w:lang w:bidi="ar-EG"/>
        </w:rPr>
        <w:t>[</w:t>
      </w:r>
      <w:r w:rsidRPr="000C69FB">
        <w:rPr>
          <w:rFonts w:asciiTheme="majorBidi" w:hAnsiTheme="majorBidi" w:cstheme="majorBidi"/>
          <w:b/>
          <w:bCs/>
          <w:sz w:val="20"/>
          <w:szCs w:val="20"/>
          <w:rtl/>
          <w:lang w:bidi="ar-EG"/>
        </w:rPr>
        <w:t xml:space="preserve">يوسف: 102]، وقال تعالى في سورة القصص: </w:t>
      </w:r>
      <w:r w:rsidRPr="000C69FB">
        <w:rPr>
          <w:rFonts w:ascii="Lotus Linotype" w:hAnsi="Lotus Linotype" w:cs="DecoType Thuluth"/>
          <w:b/>
          <w:bCs/>
          <w:color w:val="008000"/>
          <w:sz w:val="20"/>
          <w:szCs w:val="20"/>
          <w:rtl/>
          <w:lang w:bidi="ar-EG"/>
        </w:rPr>
        <w:t>{</w:t>
      </w:r>
      <w:r w:rsidRPr="000C69FB">
        <w:rPr>
          <w:rFonts w:ascii="QCF_P391" w:hAnsi="QCF_P391" w:cs="QCF_P391"/>
          <w:b/>
          <w:bCs/>
          <w:color w:val="008000"/>
          <w:sz w:val="20"/>
          <w:szCs w:val="20"/>
          <w:rtl/>
        </w:rPr>
        <w:t>ﭑ ﭒ ﭓ ﭔ ﭕ ﭖ ﭗ ﭘ ﭙ</w:t>
      </w:r>
      <w:r w:rsidRPr="000C69FB">
        <w:rPr>
          <w:rFonts w:ascii="QCF_P391" w:hAnsi="QCF_P391" w:cs="DecoType Thuluth"/>
          <w:b/>
          <w:bCs/>
          <w:color w:val="008000"/>
          <w:sz w:val="20"/>
          <w:szCs w:val="20"/>
          <w:rtl/>
        </w:rPr>
        <w:t>}</w:t>
      </w:r>
      <w:r w:rsidRPr="000C69FB">
        <w:rPr>
          <w:rFonts w:asciiTheme="majorBidi" w:hAnsiTheme="majorBidi" w:cstheme="majorBidi"/>
          <w:b/>
          <w:bCs/>
          <w:color w:val="008000"/>
          <w:sz w:val="20"/>
          <w:szCs w:val="20"/>
          <w:rtl/>
          <w:lang w:bidi="ar-EG"/>
        </w:rPr>
        <w:t xml:space="preserve"> </w:t>
      </w:r>
      <w:r w:rsidRPr="000C69FB">
        <w:rPr>
          <w:rFonts w:asciiTheme="majorBidi" w:hAnsiTheme="majorBidi" w:cstheme="majorBidi"/>
          <w:b/>
          <w:bCs/>
          <w:sz w:val="20"/>
          <w:szCs w:val="20"/>
          <w:rtl/>
          <w:lang w:bidi="ar-EG"/>
        </w:rPr>
        <w:t xml:space="preserve">[القصص: 44]، وقال تعالى: </w:t>
      </w:r>
      <w:r w:rsidRPr="000C69FB">
        <w:rPr>
          <w:rFonts w:asciiTheme="majorBidi" w:hAnsiTheme="majorBidi" w:cstheme="majorBidi"/>
          <w:b/>
          <w:bCs/>
          <w:color w:val="008000"/>
          <w:sz w:val="20"/>
          <w:szCs w:val="20"/>
          <w:rtl/>
          <w:lang w:bidi="ar-EG"/>
        </w:rPr>
        <w:t>{</w:t>
      </w:r>
      <w:r w:rsidRPr="000C69FB">
        <w:rPr>
          <w:rFonts w:ascii="QCF_P402" w:hAnsi="QCF_P402" w:cs="QCF_P402"/>
          <w:b/>
          <w:bCs/>
          <w:color w:val="008000"/>
          <w:sz w:val="20"/>
          <w:szCs w:val="20"/>
          <w:rtl/>
        </w:rPr>
        <w:t>ﮄ ﮅ ﮆ ﮇ ﮈ ﮉ ﮊ ﮋ ﮌ ﮍ ﮎ ﮏ ﮐ ﮑ</w:t>
      </w:r>
      <w:r w:rsidRPr="000C69FB">
        <w:rPr>
          <w:rFonts w:ascii="QCF_P402" w:hAnsi="QCF_P402" w:cs="DecoType Thuluth"/>
          <w:b/>
          <w:bCs/>
          <w:color w:val="008000"/>
          <w:sz w:val="20"/>
          <w:szCs w:val="20"/>
          <w:rtl/>
        </w:rPr>
        <w:t>}</w:t>
      </w:r>
      <w:r w:rsidRPr="000C69FB">
        <w:rPr>
          <w:rFonts w:asciiTheme="majorBidi" w:hAnsiTheme="majorBidi" w:cstheme="majorBidi"/>
          <w:b/>
          <w:bCs/>
          <w:color w:val="008000"/>
          <w:sz w:val="20"/>
          <w:szCs w:val="20"/>
          <w:rtl/>
          <w:lang w:bidi="ar-EG"/>
        </w:rPr>
        <w:t xml:space="preserve"> </w:t>
      </w:r>
      <w:r w:rsidRPr="000C69FB">
        <w:rPr>
          <w:rFonts w:asciiTheme="majorBidi" w:hAnsiTheme="majorBidi" w:cstheme="majorBidi"/>
          <w:b/>
          <w:bCs/>
          <w:sz w:val="20"/>
          <w:szCs w:val="20"/>
          <w:rtl/>
          <w:lang w:bidi="ar-EG"/>
        </w:rPr>
        <w:t xml:space="preserve">[العنكبوت: 48]، وقال تعالى: </w:t>
      </w:r>
      <w:r w:rsidRPr="000C69FB">
        <w:rPr>
          <w:rFonts w:ascii="Lotus Linotype" w:hAnsi="Lotus Linotype" w:cs="DecoType Thuluth"/>
          <w:b/>
          <w:bCs/>
          <w:color w:val="008000"/>
          <w:sz w:val="20"/>
          <w:szCs w:val="20"/>
          <w:rtl/>
          <w:lang w:bidi="ar-EG"/>
        </w:rPr>
        <w:t>{</w:t>
      </w:r>
      <w:r w:rsidRPr="000C69FB">
        <w:rPr>
          <w:rFonts w:ascii="QCF_P227" w:hAnsi="QCF_P227" w:cs="QCF_P227"/>
          <w:b/>
          <w:bCs/>
          <w:color w:val="008000"/>
          <w:sz w:val="20"/>
          <w:szCs w:val="20"/>
          <w:rtl/>
        </w:rPr>
        <w:t>ﮕ ﮖ ﮗ ﮘ ﮙ ﮚ ﮛ ﮜ ﮝ ﮞ ﮟ ﮠ ﮡ ﮢ ﮣ ﮤ ﮥ ﮦ ﮧ ﮨ ﮩ ﮪ</w:t>
      </w:r>
      <w:r w:rsidRPr="000C69FB">
        <w:rPr>
          <w:rFonts w:asciiTheme="majorBidi" w:hAnsiTheme="majorBidi" w:cstheme="majorBidi"/>
          <w:b/>
          <w:bCs/>
          <w:color w:val="008000"/>
          <w:sz w:val="20"/>
          <w:szCs w:val="20"/>
          <w:rtl/>
        </w:rPr>
        <w:t>}</w:t>
      </w:r>
      <w:r w:rsidRPr="000C69FB">
        <w:rPr>
          <w:rFonts w:asciiTheme="majorBidi" w:hAnsiTheme="majorBidi" w:cstheme="majorBidi"/>
          <w:b/>
          <w:bCs/>
          <w:color w:val="008000"/>
          <w:sz w:val="20"/>
          <w:szCs w:val="20"/>
          <w:rtl/>
          <w:lang w:bidi="ar-EG"/>
        </w:rPr>
        <w:t xml:space="preserve"> </w:t>
      </w:r>
      <w:r w:rsidRPr="000C69FB">
        <w:rPr>
          <w:rFonts w:asciiTheme="majorBidi" w:hAnsiTheme="majorBidi" w:cstheme="majorBidi"/>
          <w:b/>
          <w:bCs/>
          <w:sz w:val="20"/>
          <w:szCs w:val="20"/>
          <w:rtl/>
          <w:lang w:bidi="ar-EG"/>
        </w:rPr>
        <w:t xml:space="preserve">[هود: 49]، وقال تعالى: </w:t>
      </w:r>
      <w:r w:rsidRPr="000C69FB">
        <w:rPr>
          <w:rFonts w:ascii="Lotus Linotype" w:hAnsi="Lotus Linotype" w:cs="DecoType Thuluth"/>
          <w:b/>
          <w:bCs/>
          <w:color w:val="008000"/>
          <w:sz w:val="20"/>
          <w:szCs w:val="20"/>
          <w:rtl/>
          <w:lang w:bidi="ar-EG"/>
        </w:rPr>
        <w:t>{</w:t>
      </w:r>
      <w:r w:rsidRPr="000C69FB">
        <w:rPr>
          <w:rFonts w:ascii="QCF_P235" w:hAnsi="QCF_P235" w:cs="QCF_P235"/>
          <w:b/>
          <w:bCs/>
          <w:color w:val="008000"/>
          <w:sz w:val="20"/>
          <w:szCs w:val="20"/>
          <w:rtl/>
        </w:rPr>
        <w:t>ﮰ ﮱ ﯓ ﯔ ﯕ ﯖ ﯗ ﯘ ﯙ ﯚ ﯛ ﯜ ﯝ ﯞ ﯟ ﯠ</w:t>
      </w:r>
      <w:r w:rsidRPr="000C69FB">
        <w:rPr>
          <w:rFonts w:ascii="QCF_P235" w:hAnsi="QCF_P235" w:cs="DecoType Thuluth"/>
          <w:b/>
          <w:bCs/>
          <w:color w:val="008000"/>
          <w:sz w:val="20"/>
          <w:szCs w:val="20"/>
          <w:rtl/>
        </w:rPr>
        <w:t>}</w:t>
      </w:r>
      <w:r w:rsidRPr="000C69FB">
        <w:rPr>
          <w:rFonts w:ascii="Lotus Linotype" w:hAnsi="Lotus Linotype" w:cs="AL-Hotham"/>
          <w:b/>
          <w:bCs/>
          <w:color w:val="008000"/>
          <w:sz w:val="20"/>
          <w:szCs w:val="20"/>
          <w:rtl/>
          <w:lang w:bidi="ar-EG"/>
        </w:rPr>
        <w:t xml:space="preserve"> </w:t>
      </w:r>
      <w:r w:rsidRPr="000C69FB">
        <w:rPr>
          <w:rFonts w:asciiTheme="majorBidi" w:hAnsiTheme="majorBidi" w:cstheme="majorBidi"/>
          <w:b/>
          <w:bCs/>
          <w:sz w:val="20"/>
          <w:szCs w:val="20"/>
          <w:rtl/>
          <w:lang w:bidi="ar-EG"/>
        </w:rPr>
        <w:t>[يوسف: 3].</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لا نقول: إن العلم بأسماء بعض الأنبياء، وبأسماء الأمم الماضية، وبمجمل ما جرى من حوادث التدمير في ديار عاد، وثمود، وطوفان نوح، وأشباه ذلك.</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لا نقول: إن ذلك لم يصل إلى الأميين، فإن هذه المعلومات اليسيرة قلما تعزب عن أحد من أهل البدو، أو الحضر؛ لأنها مما توارثته الأجيال، وسارت به الأمثال.</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وإنما كلامنا في التفاصيل الدقيقة، والكنوز المدفونة في بطون الكتب، فذلك هو العلم النفيس الذي لم تنله يد الأميين، ولم يكن يعرفه إلا القليل من الدارسين.</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 xml:space="preserve">وإنك لتجد الصحيح المفيد من هذه الأخبار محررًا في القرآن، فنرى مثلًا في قصة أصحاب الكهف عند أهل الكتاب أنهم لبثوا في كهفهم ثلاثمائة سنة شمسية، وفي القرآن أنهم </w:t>
      </w:r>
      <w:r w:rsidRPr="000C69FB">
        <w:rPr>
          <w:rFonts w:asciiTheme="majorBidi" w:hAnsiTheme="majorBidi" w:cstheme="majorBidi"/>
          <w:b/>
          <w:bCs/>
          <w:color w:val="008000"/>
          <w:sz w:val="20"/>
          <w:szCs w:val="20"/>
          <w:rtl/>
          <w:lang w:bidi="ar-EG"/>
        </w:rPr>
        <w:t>{</w:t>
      </w:r>
      <w:r w:rsidRPr="000C69FB">
        <w:rPr>
          <w:rFonts w:ascii="QCF_P296" w:hAnsi="QCF_P296" w:cs="QCF_P296"/>
          <w:b/>
          <w:bCs/>
          <w:color w:val="008000"/>
          <w:sz w:val="20"/>
          <w:szCs w:val="20"/>
          <w:rtl/>
        </w:rPr>
        <w:t>ﯖ ﯗ ﯘ ﯙ ﯚ ﯛ ﯜ ﯝ</w:t>
      </w:r>
      <w:r w:rsidRPr="000C69FB">
        <w:rPr>
          <w:rFonts w:ascii="QCF_P296" w:hAnsi="QCF_P296" w:cs="DecoType Thuluth"/>
          <w:b/>
          <w:bCs/>
          <w:color w:val="008000"/>
          <w:sz w:val="20"/>
          <w:szCs w:val="20"/>
          <w:rtl/>
        </w:rPr>
        <w:t>}</w:t>
      </w:r>
      <w:r w:rsidRPr="000C69FB">
        <w:rPr>
          <w:rFonts w:ascii="Lotus Linotype" w:hAnsi="Lotus Linotype" w:cs="AL-Hotham"/>
          <w:b/>
          <w:bCs/>
          <w:color w:val="008000"/>
          <w:sz w:val="20"/>
          <w:szCs w:val="20"/>
          <w:rtl/>
        </w:rPr>
        <w:t xml:space="preserve"> </w:t>
      </w:r>
      <w:r w:rsidRPr="000C69FB">
        <w:rPr>
          <w:rFonts w:asciiTheme="majorBidi" w:hAnsiTheme="majorBidi" w:cstheme="majorBidi"/>
          <w:b/>
          <w:bCs/>
          <w:sz w:val="20"/>
          <w:szCs w:val="20"/>
          <w:rtl/>
        </w:rPr>
        <w:t>[الكهف: 25]، وهذه السنون التسع هي فرق ما بين عدد السنون الشمسية، والقمرية.</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فانظر إلى هذا الحساب الدقيق في أمة أمية لا تكتب، ولا تحسب. نعم إنها لعجيبة حقًّا رجل أمي بين قوم أميين يحضر مشاهدهم، ويعيش معيشتهم مشغولًا برزق نفسه، وزوجه، وأولاده راعيًا بالأجر لا صلة له بالعلم والعلماء، يقضي في هذا المستوى أكثر من أربعين سنة من عمره، ثم يطلع علينا فيما بين عشية وضحاها فيكلمنا بما لا عهد له به في سالف حياته، وبما لم يتحدث إلى أحد بحرف واحد منه قبل ذلك، ويبدي لنا من أخبار تلك القرون الأولى ما أخفاه أهل العلم في دفاترهم، أفي مثل هذا يقول القائلون: إنه استوحى عقله، واستلهم ضميره فألف ذلك الكلام؟!</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lastRenderedPageBreak/>
        <w:t xml:space="preserve">أي منطق يسوغ أن يكون هذا نتيجة طبيعية لتلك الحياة الماضية للنبي </w:t>
      </w:r>
      <w:r w:rsidRPr="000C69FB">
        <w:rPr>
          <w:rFonts w:asciiTheme="majorBidi" w:hAnsiTheme="majorBidi" w:cstheme="majorBidi"/>
          <w:b/>
          <w:bCs/>
          <w:position w:val="-4"/>
          <w:sz w:val="20"/>
          <w:szCs w:val="20"/>
          <w:lang w:bidi="ar-EG"/>
        </w:rPr>
        <w:t></w:t>
      </w:r>
      <w:r w:rsidRPr="000C69FB">
        <w:rPr>
          <w:rFonts w:asciiTheme="majorBidi" w:hAnsiTheme="majorBidi" w:cstheme="majorBidi"/>
          <w:b/>
          <w:bCs/>
          <w:sz w:val="20"/>
          <w:szCs w:val="20"/>
          <w:rtl/>
          <w:lang w:bidi="ar-EG"/>
        </w:rPr>
        <w:t xml:space="preserve">؟ إنه لا مناص في قضية العقل من أن يكون لهذا الانتقال سر آخر يلتمس خارجًا عن حدود نفس النبي </w:t>
      </w:r>
      <w:r w:rsidRPr="000C69FB">
        <w:rPr>
          <w:rFonts w:asciiTheme="majorBidi" w:hAnsiTheme="majorBidi" w:cstheme="majorBidi"/>
          <w:b/>
          <w:bCs/>
          <w:position w:val="-4"/>
          <w:sz w:val="20"/>
          <w:szCs w:val="20"/>
          <w:lang w:bidi="ar-EG"/>
        </w:rPr>
        <w:t></w:t>
      </w:r>
      <w:r w:rsidRPr="000C69FB">
        <w:rPr>
          <w:rFonts w:asciiTheme="majorBidi" w:hAnsiTheme="majorBidi" w:cstheme="majorBidi"/>
          <w:b/>
          <w:bCs/>
          <w:sz w:val="20"/>
          <w:szCs w:val="20"/>
          <w:rtl/>
          <w:lang w:bidi="ar-EG"/>
        </w:rPr>
        <w:t xml:space="preserve"> وعن دائرة معلوماته القديمة.</w:t>
      </w:r>
      <w:r w:rsidRPr="000C69FB">
        <w:rPr>
          <w:rFonts w:asciiTheme="majorBidi" w:hAnsiTheme="majorBidi" w:cstheme="majorBidi"/>
          <w:b/>
          <w:bCs/>
          <w:sz w:val="20"/>
          <w:szCs w:val="20"/>
          <w:rtl/>
        </w:rPr>
        <w:t xml:space="preserve"> </w:t>
      </w:r>
      <w:r w:rsidRPr="000C69FB">
        <w:rPr>
          <w:rFonts w:asciiTheme="majorBidi" w:hAnsiTheme="majorBidi" w:cstheme="majorBidi"/>
          <w:b/>
          <w:bCs/>
          <w:sz w:val="20"/>
          <w:szCs w:val="20"/>
          <w:rtl/>
          <w:lang w:bidi="ar-EG"/>
        </w:rPr>
        <w:t xml:space="preserve">إنه الوحي إنه خبر السماء الذي يأتيه من الله </w:t>
      </w:r>
      <w:r w:rsidRPr="000C69FB">
        <w:rPr>
          <w:rFonts w:asciiTheme="majorBidi" w:hAnsiTheme="majorBidi" w:cstheme="majorBidi"/>
          <w:b/>
          <w:bCs/>
          <w:position w:val="-4"/>
          <w:sz w:val="20"/>
          <w:szCs w:val="20"/>
          <w:lang w:bidi="ar-EG"/>
        </w:rPr>
        <w:t></w:t>
      </w:r>
      <w:r w:rsidRPr="000C69FB">
        <w:rPr>
          <w:rFonts w:asciiTheme="majorBidi" w:hAnsiTheme="majorBidi" w:cstheme="majorBidi"/>
          <w:b/>
          <w:bCs/>
          <w:sz w:val="20"/>
          <w:szCs w:val="20"/>
          <w:rtl/>
          <w:lang w:bidi="ar-EG"/>
        </w:rPr>
        <w:t>.</w:t>
      </w:r>
      <w:r w:rsidRPr="000C69FB">
        <w:rPr>
          <w:rFonts w:asciiTheme="majorBidi" w:hAnsiTheme="majorBidi" w:cstheme="majorBidi"/>
          <w:b/>
          <w:bCs/>
          <w:sz w:val="20"/>
          <w:szCs w:val="20"/>
          <w:rtl/>
        </w:rPr>
        <w:t xml:space="preserve"> </w:t>
      </w:r>
      <w:r w:rsidRPr="000C69FB">
        <w:rPr>
          <w:rFonts w:asciiTheme="majorBidi" w:hAnsiTheme="majorBidi" w:cstheme="majorBidi"/>
          <w:b/>
          <w:bCs/>
          <w:sz w:val="20"/>
          <w:szCs w:val="20"/>
          <w:rtl/>
          <w:lang w:bidi="ar-EG"/>
        </w:rPr>
        <w:t>كذلك إذا انتقلنا إلى الكلام على الحقائق الدينية الغيبية، فكلنا يعلم أن الحقائق الغيبية لا سبيل للعقل إليها في حال من الأحوال.</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إن غاية ما يجتنيه العقل من ثمرات بحثه المستقل في أمر الدين؛ هو أن يعلم أن فوق هذا العالم إلهًا قاهرًا دبَّرَه، ولم يخلقه باطلًا، بل وضعه على مقتضى الحكمة، والعدالة، ولا بد، وأن يعيده كرة أخرى لينال كل عامل جزاء عمله إن خيرًا فخير، وإن شرًّا فشر.</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هذا هو كل ما يناله العقل الكامل من أمر الدين، ولكن القرآن لا يقف عند هذه المرحلة، ولا ينتهي عند هذا الحد، بل نراه يشرح لنا حدود الإيمان مفصلة، ويصف لنا بدء الخلق ونهايته، ويصف الجنة وأنواع نعيمها، ويصف النار وألوان عذابها كأنهما رأي عين حتى إنه ليحصي عدد أبواب النار، ويحصي عدد الملائكة الموكلة بتلك الأبواب.</w:t>
      </w:r>
    </w:p>
    <w:p w:rsidR="000C69FB" w:rsidRPr="000C69FB" w:rsidRDefault="000C69FB" w:rsidP="000C69FB">
      <w:pPr>
        <w:pStyle w:val="NormalWeb"/>
        <w:bidi/>
        <w:spacing w:before="0" w:beforeAutospacing="0" w:after="120" w:afterAutospacing="0"/>
        <w:jc w:val="both"/>
        <w:rPr>
          <w:rFonts w:asciiTheme="majorBidi" w:hAnsiTheme="majorBidi" w:cstheme="majorBidi"/>
          <w:b/>
          <w:bCs/>
          <w:sz w:val="20"/>
          <w:szCs w:val="20"/>
          <w:rtl/>
        </w:rPr>
      </w:pPr>
      <w:r w:rsidRPr="000C69FB">
        <w:rPr>
          <w:rFonts w:asciiTheme="majorBidi" w:hAnsiTheme="majorBidi" w:cstheme="majorBidi"/>
          <w:b/>
          <w:bCs/>
          <w:sz w:val="20"/>
          <w:szCs w:val="20"/>
          <w:rtl/>
          <w:lang w:bidi="ar-EG"/>
        </w:rPr>
        <w:t xml:space="preserve">فعلى أي نظرية عقلية بنيت هذه الأوصاف التحديدية؟ إن ذلك ما لا يوحي به العقل البتة، بل هو إما باطل فيكون من وحي الخيال والتخييل، وإما حق فلا يكون إلا بالتعليم، والتلقين إنه الحق الذي شهدت به الكتب، واستيقنه أهلها قال تعالى: </w:t>
      </w:r>
      <w:r w:rsidRPr="000C69FB">
        <w:rPr>
          <w:rFonts w:ascii="Lotus Linotype" w:hAnsi="Lotus Linotype" w:cs="DecoType Thuluth"/>
          <w:b/>
          <w:bCs/>
          <w:color w:val="008000"/>
          <w:sz w:val="20"/>
          <w:szCs w:val="20"/>
          <w:rtl/>
          <w:lang w:bidi="ar-EG"/>
        </w:rPr>
        <w:t>{</w:t>
      </w:r>
      <w:r w:rsidRPr="000C69FB">
        <w:rPr>
          <w:rFonts w:ascii="QCF_P576" w:hAnsi="QCF_P576" w:cs="QCF_P576"/>
          <w:b/>
          <w:bCs/>
          <w:color w:val="008000"/>
          <w:sz w:val="20"/>
          <w:szCs w:val="20"/>
          <w:rtl/>
        </w:rPr>
        <w:t>ﮑ ﮒ ﮓ ﮔ ﮕ ﮖ ﮗ ﮘ ﮙ ﮚ ﮛ ﮜ ﮝ ﮞ ﮟ</w:t>
      </w:r>
      <w:r w:rsidRPr="000C69FB">
        <w:rPr>
          <w:rFonts w:ascii="Lotus Linotype" w:hAnsi="Lotus Linotype" w:cs="DecoType Thuluth"/>
          <w:b/>
          <w:bCs/>
          <w:color w:val="008000"/>
          <w:sz w:val="20"/>
          <w:szCs w:val="20"/>
          <w:rtl/>
          <w:lang w:bidi="ar-EG"/>
        </w:rPr>
        <w:t>}</w:t>
      </w:r>
      <w:r w:rsidRPr="000C69FB">
        <w:rPr>
          <w:rFonts w:ascii="Lotus Linotype" w:hAnsi="Lotus Linotype" w:cs="AL-Hotham"/>
          <w:b/>
          <w:bCs/>
          <w:color w:val="008000"/>
          <w:sz w:val="20"/>
          <w:szCs w:val="20"/>
          <w:rtl/>
          <w:lang w:bidi="ar-EG"/>
        </w:rPr>
        <w:t xml:space="preserve"> </w:t>
      </w:r>
      <w:r w:rsidRPr="000C69FB">
        <w:rPr>
          <w:rFonts w:ascii="Lotus Linotype" w:hAnsi="Lotus Linotype" w:cs="AL-Hotham"/>
          <w:b/>
          <w:bCs/>
          <w:sz w:val="20"/>
          <w:szCs w:val="20"/>
          <w:rtl/>
          <w:lang w:bidi="ar-EG"/>
        </w:rPr>
        <w:t>[</w:t>
      </w:r>
      <w:r w:rsidRPr="000C69FB">
        <w:rPr>
          <w:rFonts w:asciiTheme="majorBidi" w:hAnsiTheme="majorBidi" w:cstheme="majorBidi"/>
          <w:b/>
          <w:bCs/>
          <w:sz w:val="20"/>
          <w:szCs w:val="20"/>
          <w:rtl/>
          <w:lang w:bidi="ar-EG"/>
        </w:rPr>
        <w:t>المدثر: 31]، وقال تعالى:</w:t>
      </w:r>
      <w:r w:rsidRPr="000C69FB">
        <w:rPr>
          <w:rFonts w:ascii="Lotus Linotype" w:hAnsi="Lotus Linotype" w:cs="AL-Hotham"/>
          <w:b/>
          <w:bCs/>
          <w:sz w:val="20"/>
          <w:szCs w:val="20"/>
          <w:rtl/>
          <w:lang w:bidi="ar-EG"/>
        </w:rPr>
        <w:t xml:space="preserve"> </w:t>
      </w:r>
      <w:r w:rsidRPr="000C69FB">
        <w:rPr>
          <w:rFonts w:ascii="Lotus Linotype" w:hAnsi="Lotus Linotype" w:cs="DecoType Thuluth"/>
          <w:b/>
          <w:bCs/>
          <w:color w:val="008000"/>
          <w:sz w:val="20"/>
          <w:szCs w:val="20"/>
          <w:rtl/>
          <w:lang w:bidi="ar-EG"/>
        </w:rPr>
        <w:t>{</w:t>
      </w:r>
      <w:r w:rsidRPr="000C69FB">
        <w:rPr>
          <w:rFonts w:ascii="QCF_P489" w:hAnsi="QCF_P489" w:cs="QCF_P489"/>
          <w:b/>
          <w:bCs/>
          <w:color w:val="008000"/>
          <w:sz w:val="20"/>
          <w:szCs w:val="20"/>
          <w:rtl/>
        </w:rPr>
        <w:t>ﭑ ﭒ ﭓ ﭔ ﭕ ﭖ ﭗ ﭘ ﭙ ﭚ ﭛ ﭜ ﭝ ﭞ</w:t>
      </w:r>
      <w:r w:rsidRPr="000C69FB">
        <w:rPr>
          <w:rFonts w:asciiTheme="majorBidi" w:hAnsiTheme="majorBidi" w:cstheme="majorBidi"/>
          <w:b/>
          <w:bCs/>
          <w:color w:val="008000"/>
          <w:sz w:val="20"/>
          <w:szCs w:val="20"/>
          <w:rtl/>
        </w:rPr>
        <w:t>}</w:t>
      </w:r>
      <w:r w:rsidRPr="000C69FB">
        <w:rPr>
          <w:rFonts w:asciiTheme="majorBidi" w:hAnsiTheme="majorBidi" w:cstheme="majorBidi"/>
          <w:b/>
          <w:bCs/>
          <w:color w:val="008000"/>
          <w:sz w:val="20"/>
          <w:szCs w:val="20"/>
          <w:rtl/>
          <w:lang w:bidi="ar-EG"/>
        </w:rPr>
        <w:t xml:space="preserve"> </w:t>
      </w:r>
      <w:r w:rsidRPr="000C69FB">
        <w:rPr>
          <w:rFonts w:asciiTheme="majorBidi" w:hAnsiTheme="majorBidi" w:cstheme="majorBidi"/>
          <w:b/>
          <w:bCs/>
          <w:sz w:val="20"/>
          <w:szCs w:val="20"/>
          <w:rtl/>
          <w:lang w:bidi="ar-EG"/>
        </w:rPr>
        <w:t>[الشورى: 52]، وقال تعالى:</w:t>
      </w:r>
      <w:r w:rsidRPr="000C69FB">
        <w:rPr>
          <w:rFonts w:ascii="Lotus Linotype" w:hAnsi="Lotus Linotype" w:cs="AL-Hotham"/>
          <w:b/>
          <w:bCs/>
          <w:color w:val="008000"/>
          <w:sz w:val="20"/>
          <w:szCs w:val="20"/>
          <w:rtl/>
          <w:lang w:bidi="ar-EG"/>
        </w:rPr>
        <w:t xml:space="preserve"> </w:t>
      </w:r>
      <w:r w:rsidRPr="000C69FB">
        <w:rPr>
          <w:rFonts w:ascii="Lotus Linotype" w:hAnsi="Lotus Linotype" w:cs="DecoType Thuluth"/>
          <w:b/>
          <w:bCs/>
          <w:color w:val="008000"/>
          <w:sz w:val="20"/>
          <w:szCs w:val="20"/>
          <w:rtl/>
          <w:lang w:bidi="ar-EG"/>
        </w:rPr>
        <w:t>{</w:t>
      </w:r>
      <w:r w:rsidRPr="000C69FB">
        <w:rPr>
          <w:rFonts w:ascii="QCF_P213" w:hAnsi="QCF_P213" w:cs="QCF_P213"/>
          <w:b/>
          <w:bCs/>
          <w:color w:val="008000"/>
          <w:sz w:val="20"/>
          <w:szCs w:val="20"/>
          <w:rtl/>
        </w:rPr>
        <w:t>ﮚ ﮛ ﮜ ﮝ ﮞ ﮟ ﮠ ﮡ ﮢ ﮣ ﮤ ﮥ ﮦ ﮧ ﮨ ﮩ ﮪ ﮫ ﮬ ﮭ ﮮ ﮯ</w:t>
      </w:r>
      <w:r w:rsidRPr="000C69FB">
        <w:rPr>
          <w:rFonts w:ascii="QCF_P213" w:hAnsi="QCF_P213" w:cs="DecoType Thuluth"/>
          <w:b/>
          <w:bCs/>
          <w:color w:val="008000"/>
          <w:sz w:val="20"/>
          <w:szCs w:val="20"/>
          <w:rtl/>
        </w:rPr>
        <w:t>}</w:t>
      </w:r>
      <w:r w:rsidRPr="000C69FB">
        <w:rPr>
          <w:rFonts w:ascii="Lotus Linotype" w:hAnsi="Lotus Linotype" w:cs="AL-Hotham"/>
          <w:b/>
          <w:bCs/>
          <w:color w:val="008000"/>
          <w:sz w:val="20"/>
          <w:szCs w:val="20"/>
          <w:rtl/>
          <w:lang w:bidi="ar-EG"/>
        </w:rPr>
        <w:t xml:space="preserve"> </w:t>
      </w:r>
      <w:r w:rsidRPr="000C69FB">
        <w:rPr>
          <w:rFonts w:asciiTheme="majorBidi" w:hAnsiTheme="majorBidi" w:cstheme="majorBidi"/>
          <w:b/>
          <w:bCs/>
          <w:sz w:val="20"/>
          <w:szCs w:val="20"/>
          <w:rtl/>
          <w:lang w:bidi="ar-EG"/>
        </w:rPr>
        <w:t>[يونس: 37].</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بعدما تكلمنا عن أخبار الأمم الماضية، وعن الحقائق الدينية الغيبية نتكلم عن أنباء المستقبل، فإن أنباء المستقبل قد تستنبط بالمقايسة الظنية -أي: بالقياس- لكنها لا سبيل فيها لليقين إلا بالوحي الصادق، وأفصل في ذلك، فأقول: هل تعرف كيف يحكم ذو العقل الكامل في النبوءات الغيبية؟ إنه يتخذ من تجاربه الماضية مصباحًا. يكشف على ضوئه بضع خطوات من مجرى الحوادث المقبلة جاعلًا الشاهد من هذه مقياسًا للغائب من تلك، ثم يصدر فيها حكمًا محاطًا بكل تحفظ وحذر قائلًا: ذلك ما تقضي به طبيعة الحوادث لو صارت الأمور على طبيعتها، ولم يقع ما ليس في الحسبان، أما إن يبت الحكم بتًّا، وأن يحدده تحديدًا حتى فيما لا تدل عليه مقدمة من المقدمات العلمية، ولا تلوح منه أمارة من الأمارات الظنية العادية.</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فذلك ما لا يفعله إلا أحد رجلين: إما رجل مجازف لا يبالي أن يقول الناس فيه: صدق، أو كذب، وذلك هو دأب جهلاء المتنبئين من العرافين، والمنجمين.</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وإما رجل اتخذ عند الله عهدًا، فلن يخلف الله عهده، وتلك هي سنة الأنبياء والمرسلين، ولا ثالث لهما إلا رجلًا روى أخباره عن واحد منهما.</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 xml:space="preserve">فأي الرجلين تراه في مبلغ هذا القرآن؟ حينما يجيء على لسانه الخبر الجازم بما سيقع بعد عام، وما سيقع في أعوام، وما سيكون أبد الدهر، </w:t>
      </w:r>
      <w:r w:rsidRPr="000C69FB">
        <w:rPr>
          <w:rFonts w:asciiTheme="majorBidi" w:hAnsiTheme="majorBidi" w:cstheme="majorBidi"/>
          <w:b/>
          <w:bCs/>
          <w:sz w:val="20"/>
          <w:szCs w:val="20"/>
          <w:rtl/>
          <w:lang w:bidi="ar-EG"/>
        </w:rPr>
        <w:lastRenderedPageBreak/>
        <w:t>وما لن يكون أبد الدهر ذلك وهو لم يتعاط علم المعرفة والتنجيم، ولا كانت أخلاقه كأخلاقهم، ولا كانت أخباره كأخبارهم خليطًا من الصدق، والكذب، والصواب، والخطأ.</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 xml:space="preserve">بل كان </w:t>
      </w:r>
      <w:r w:rsidRPr="000C69FB">
        <w:rPr>
          <w:rFonts w:asciiTheme="majorBidi" w:hAnsiTheme="majorBidi" w:cstheme="majorBidi"/>
          <w:b/>
          <w:bCs/>
          <w:position w:val="-4"/>
          <w:sz w:val="20"/>
          <w:szCs w:val="20"/>
          <w:lang w:bidi="ar-EG"/>
        </w:rPr>
        <w:t></w:t>
      </w:r>
      <w:r w:rsidRPr="000C69FB">
        <w:rPr>
          <w:rFonts w:asciiTheme="majorBidi" w:hAnsiTheme="majorBidi" w:cstheme="majorBidi"/>
          <w:b/>
          <w:bCs/>
          <w:sz w:val="20"/>
          <w:szCs w:val="20"/>
          <w:rtl/>
          <w:lang w:bidi="ar-EG"/>
        </w:rPr>
        <w:t xml:space="preserve"> مع براءته من علم الغيب، وقعوده عن طلبه، وتكلفه كان يجيئه عفوًا ما تعجز صروف الدهر، وتقلباته في الأحقاب المتطاولة أن تنقض حرفًا واحدًا مما ينبئ به </w:t>
      </w:r>
      <w:r w:rsidRPr="000C69FB">
        <w:rPr>
          <w:rFonts w:asciiTheme="majorBidi" w:hAnsiTheme="majorBidi" w:cstheme="majorBidi"/>
          <w:b/>
          <w:bCs/>
          <w:position w:val="-4"/>
          <w:sz w:val="20"/>
          <w:szCs w:val="20"/>
          <w:lang w:bidi="ar-EG"/>
        </w:rPr>
        <w:t></w:t>
      </w:r>
      <w:r w:rsidRPr="000C69FB">
        <w:rPr>
          <w:rFonts w:asciiTheme="majorBidi" w:hAnsiTheme="majorBidi" w:cstheme="majorBidi"/>
          <w:b/>
          <w:bCs/>
          <w:sz w:val="20"/>
          <w:szCs w:val="20"/>
          <w:rtl/>
          <w:lang w:bidi="ar-EG"/>
        </w:rPr>
        <w:t>، قال تعالى:</w:t>
      </w:r>
      <w:r w:rsidRPr="000C69FB">
        <w:rPr>
          <w:rFonts w:ascii="Lotus Linotype" w:hAnsi="Lotus Linotype" w:cs="AL-Hotham"/>
          <w:b/>
          <w:bCs/>
          <w:color w:val="008000"/>
          <w:sz w:val="20"/>
          <w:szCs w:val="20"/>
          <w:rtl/>
          <w:lang w:bidi="ar-EG"/>
        </w:rPr>
        <w:t xml:space="preserve"> </w:t>
      </w:r>
      <w:r w:rsidRPr="000C69FB">
        <w:rPr>
          <w:rFonts w:ascii="Lotus Linotype" w:hAnsi="Lotus Linotype" w:cs="DecoType Thuluth"/>
          <w:b/>
          <w:bCs/>
          <w:color w:val="008000"/>
          <w:sz w:val="20"/>
          <w:szCs w:val="20"/>
          <w:rtl/>
          <w:lang w:bidi="ar-EG"/>
        </w:rPr>
        <w:t>{</w:t>
      </w:r>
      <w:r w:rsidRPr="000C69FB">
        <w:rPr>
          <w:rFonts w:ascii="QCF_P481" w:hAnsi="QCF_P481" w:cs="QCF_P481"/>
          <w:b/>
          <w:bCs/>
          <w:color w:val="008000"/>
          <w:sz w:val="20"/>
          <w:szCs w:val="20"/>
          <w:rtl/>
        </w:rPr>
        <w:t>ﮏ ﮐ ﮑ ﮒﮓ ﮔ ﮕ ﮖ ﮗ ﮘ ﮙ ﮚ ﮛ ﮜ ﮝ ﮞ ﮟ ﮠ</w:t>
      </w:r>
      <w:r w:rsidRPr="000C69FB">
        <w:rPr>
          <w:rFonts w:ascii="QCF_P481" w:hAnsi="QCF_P481" w:cs="DecoType Thuluth"/>
          <w:b/>
          <w:bCs/>
          <w:color w:val="008000"/>
          <w:sz w:val="20"/>
          <w:szCs w:val="20"/>
          <w:rtl/>
        </w:rPr>
        <w:t>}</w:t>
      </w:r>
      <w:r w:rsidRPr="000C69FB">
        <w:rPr>
          <w:rFonts w:ascii="Lotus Linotype" w:hAnsi="Lotus Linotype" w:cs="AL-Hotham"/>
          <w:b/>
          <w:bCs/>
          <w:color w:val="008000"/>
          <w:sz w:val="20"/>
          <w:szCs w:val="20"/>
          <w:rtl/>
          <w:lang w:bidi="ar-EG"/>
        </w:rPr>
        <w:t xml:space="preserve"> </w:t>
      </w:r>
      <w:r w:rsidRPr="000C69FB">
        <w:rPr>
          <w:rFonts w:ascii="Lotus Linotype" w:hAnsi="Lotus Linotype" w:cs="AL-Hotham"/>
          <w:b/>
          <w:bCs/>
          <w:sz w:val="20"/>
          <w:szCs w:val="20"/>
          <w:rtl/>
          <w:lang w:bidi="ar-EG"/>
        </w:rPr>
        <w:t>[</w:t>
      </w:r>
      <w:r w:rsidRPr="000C69FB">
        <w:rPr>
          <w:rFonts w:asciiTheme="majorBidi" w:hAnsiTheme="majorBidi" w:cstheme="majorBidi"/>
          <w:b/>
          <w:bCs/>
          <w:sz w:val="20"/>
          <w:szCs w:val="20"/>
          <w:rtl/>
          <w:lang w:bidi="ar-EG"/>
        </w:rPr>
        <w:t>فصلت: 41، 42].</w:t>
      </w:r>
    </w:p>
    <w:p w:rsidR="000C69FB" w:rsidRPr="000C69FB" w:rsidRDefault="000C69FB" w:rsidP="000C69FB">
      <w:pPr>
        <w:pStyle w:val="NormalWeb"/>
        <w:bidi/>
        <w:spacing w:before="0" w:beforeAutospacing="0" w:after="120" w:afterAutospacing="0"/>
        <w:jc w:val="lowKashida"/>
        <w:rPr>
          <w:rFonts w:asciiTheme="majorBidi" w:hAnsiTheme="majorBidi" w:cstheme="majorBidi"/>
          <w:b/>
          <w:bCs/>
          <w:sz w:val="20"/>
          <w:szCs w:val="20"/>
          <w:rtl/>
        </w:rPr>
      </w:pPr>
      <w:r w:rsidRPr="000C69FB">
        <w:rPr>
          <w:rFonts w:asciiTheme="majorBidi" w:hAnsiTheme="majorBidi" w:cstheme="majorBidi"/>
          <w:b/>
          <w:bCs/>
          <w:sz w:val="20"/>
          <w:szCs w:val="20"/>
          <w:rtl/>
          <w:lang w:bidi="ar-EG"/>
        </w:rPr>
        <w:t>ولنسرد هنا بعض النبوءات القرآنية مع بيان شيء من ملابساتها التاريخية؛ لنرى هل كانت مقدماتها القريبة، أو البعيدة حاضرة.</w:t>
      </w:r>
    </w:p>
    <w:p w:rsidR="000C69FB" w:rsidRPr="000C69FB" w:rsidRDefault="000C69FB" w:rsidP="000C69FB">
      <w:pPr>
        <w:spacing w:after="120" w:line="240" w:lineRule="auto"/>
        <w:jc w:val="center"/>
        <w:rPr>
          <w:rFonts w:asciiTheme="majorBidi" w:hAnsiTheme="majorBidi" w:cstheme="majorBidi"/>
          <w:b/>
          <w:bCs/>
          <w:sz w:val="20"/>
          <w:szCs w:val="20"/>
          <w:rtl/>
        </w:rPr>
      </w:pPr>
      <w:r w:rsidRPr="000C69FB">
        <w:rPr>
          <w:rFonts w:asciiTheme="majorBidi" w:hAnsiTheme="majorBidi" w:cstheme="majorBidi"/>
          <w:b/>
          <w:bCs/>
          <w:sz w:val="20"/>
          <w:szCs w:val="20"/>
          <w:rtl/>
        </w:rPr>
        <w:t>ال</w:t>
      </w:r>
      <w:r w:rsidRPr="000C69FB">
        <w:rPr>
          <w:rFonts w:asciiTheme="majorBidi" w:hAnsiTheme="majorBidi" w:cstheme="majorBidi" w:hint="cs"/>
          <w:b/>
          <w:bCs/>
          <w:sz w:val="20"/>
          <w:szCs w:val="20"/>
          <w:rtl/>
        </w:rPr>
        <w:t>م</w:t>
      </w:r>
      <w:r w:rsidRPr="000C69FB">
        <w:rPr>
          <w:rFonts w:asciiTheme="majorBidi" w:hAnsiTheme="majorBidi" w:cstheme="majorBidi"/>
          <w:b/>
          <w:bCs/>
          <w:sz w:val="20"/>
          <w:szCs w:val="20"/>
          <w:rtl/>
        </w:rPr>
        <w:t>صادر والمراجع</w:t>
      </w:r>
    </w:p>
    <w:p w:rsidR="000C69FB" w:rsidRPr="000C69FB" w:rsidRDefault="000C69FB" w:rsidP="000C69FB">
      <w:pPr>
        <w:numPr>
          <w:ilvl w:val="0"/>
          <w:numId w:val="2"/>
        </w:numPr>
        <w:spacing w:after="120" w:line="240" w:lineRule="auto"/>
        <w:jc w:val="lowKashida"/>
        <w:rPr>
          <w:rFonts w:asciiTheme="majorBidi" w:hAnsiTheme="majorBidi" w:cstheme="majorBidi"/>
          <w:b/>
          <w:bCs/>
          <w:sz w:val="20"/>
          <w:szCs w:val="20"/>
          <w:rtl/>
        </w:rPr>
      </w:pPr>
      <w:r w:rsidRPr="000C69FB">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0C69FB" w:rsidRPr="000C69FB" w:rsidRDefault="000C69FB" w:rsidP="000C69FB">
      <w:pPr>
        <w:numPr>
          <w:ilvl w:val="0"/>
          <w:numId w:val="2"/>
        </w:numPr>
        <w:spacing w:after="120" w:line="240" w:lineRule="auto"/>
        <w:jc w:val="lowKashida"/>
        <w:rPr>
          <w:rFonts w:asciiTheme="majorBidi" w:hAnsiTheme="majorBidi" w:cstheme="majorBidi"/>
          <w:b/>
          <w:bCs/>
          <w:sz w:val="20"/>
          <w:szCs w:val="20"/>
          <w:rtl/>
        </w:rPr>
      </w:pPr>
      <w:r w:rsidRPr="000C69FB">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0C69FB" w:rsidRPr="000C69FB" w:rsidRDefault="000C69FB" w:rsidP="000C69FB">
      <w:pPr>
        <w:numPr>
          <w:ilvl w:val="0"/>
          <w:numId w:val="2"/>
        </w:numPr>
        <w:spacing w:after="120" w:line="240" w:lineRule="auto"/>
        <w:jc w:val="lowKashida"/>
        <w:rPr>
          <w:rFonts w:asciiTheme="majorBidi" w:hAnsiTheme="majorBidi" w:cstheme="majorBidi"/>
          <w:b/>
          <w:bCs/>
          <w:sz w:val="20"/>
          <w:szCs w:val="20"/>
        </w:rPr>
      </w:pPr>
      <w:r w:rsidRPr="000C69FB">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0C69FB" w:rsidRPr="000C69FB" w:rsidRDefault="000C69FB" w:rsidP="000C69FB">
      <w:pPr>
        <w:numPr>
          <w:ilvl w:val="0"/>
          <w:numId w:val="2"/>
        </w:numPr>
        <w:spacing w:after="120" w:line="240" w:lineRule="auto"/>
        <w:jc w:val="lowKashida"/>
        <w:rPr>
          <w:rFonts w:asciiTheme="majorBidi" w:hAnsiTheme="majorBidi" w:cstheme="majorBidi"/>
          <w:b/>
          <w:bCs/>
          <w:sz w:val="20"/>
          <w:szCs w:val="20"/>
        </w:rPr>
      </w:pPr>
      <w:r w:rsidRPr="000C69FB">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0C69FB" w:rsidRPr="000C69FB" w:rsidRDefault="000C69FB" w:rsidP="000C69FB">
      <w:pPr>
        <w:numPr>
          <w:ilvl w:val="0"/>
          <w:numId w:val="2"/>
        </w:numPr>
        <w:spacing w:after="120" w:line="240" w:lineRule="auto"/>
        <w:jc w:val="lowKashida"/>
        <w:rPr>
          <w:rFonts w:asciiTheme="majorBidi" w:hAnsiTheme="majorBidi" w:cstheme="majorBidi"/>
          <w:b/>
          <w:bCs/>
          <w:sz w:val="20"/>
          <w:szCs w:val="20"/>
          <w:rtl/>
        </w:rPr>
      </w:pPr>
      <w:r w:rsidRPr="000C69FB">
        <w:rPr>
          <w:rFonts w:asciiTheme="majorBidi" w:hAnsiTheme="majorBidi" w:cstheme="majorBidi"/>
          <w:b/>
          <w:bCs/>
          <w:sz w:val="20"/>
          <w:szCs w:val="20"/>
          <w:rtl/>
        </w:rPr>
        <w:t>أبي داود، ابن أبي داود، تحقيق: محب الدين واعظ، (المصاحف) ، دار البشائر الإسلامية، 2002م</w:t>
      </w:r>
    </w:p>
    <w:p w:rsidR="000C69FB" w:rsidRPr="000C69FB" w:rsidRDefault="000C69FB" w:rsidP="000C69FB">
      <w:pPr>
        <w:numPr>
          <w:ilvl w:val="0"/>
          <w:numId w:val="2"/>
        </w:numPr>
        <w:spacing w:after="120" w:line="240" w:lineRule="auto"/>
        <w:jc w:val="lowKashida"/>
        <w:rPr>
          <w:rFonts w:asciiTheme="majorBidi" w:hAnsiTheme="majorBidi" w:cstheme="majorBidi"/>
          <w:b/>
          <w:bCs/>
          <w:sz w:val="20"/>
          <w:szCs w:val="20"/>
        </w:rPr>
      </w:pPr>
      <w:r w:rsidRPr="000C69FB">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0C69FB" w:rsidRPr="000C69FB" w:rsidRDefault="000C69FB" w:rsidP="000C69FB">
      <w:pPr>
        <w:numPr>
          <w:ilvl w:val="0"/>
          <w:numId w:val="2"/>
        </w:numPr>
        <w:spacing w:after="120" w:line="240" w:lineRule="auto"/>
        <w:jc w:val="lowKashida"/>
        <w:rPr>
          <w:rFonts w:asciiTheme="majorBidi" w:hAnsiTheme="majorBidi" w:cstheme="majorBidi"/>
          <w:b/>
          <w:bCs/>
          <w:sz w:val="20"/>
          <w:szCs w:val="20"/>
          <w:rtl/>
        </w:rPr>
      </w:pPr>
      <w:r w:rsidRPr="000C69FB">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0C69FB" w:rsidRPr="000C69FB" w:rsidRDefault="000C69FB" w:rsidP="000C69FB">
      <w:pPr>
        <w:numPr>
          <w:ilvl w:val="0"/>
          <w:numId w:val="2"/>
        </w:numPr>
        <w:spacing w:after="120" w:line="240" w:lineRule="auto"/>
        <w:jc w:val="lowKashida"/>
        <w:rPr>
          <w:rFonts w:asciiTheme="majorBidi" w:hAnsiTheme="majorBidi" w:cstheme="majorBidi"/>
          <w:b/>
          <w:bCs/>
          <w:sz w:val="20"/>
          <w:szCs w:val="20"/>
          <w:rtl/>
        </w:rPr>
      </w:pPr>
      <w:r w:rsidRPr="000C69FB">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0C69FB" w:rsidRPr="000C69FB" w:rsidRDefault="000C69FB" w:rsidP="000C69FB">
      <w:pPr>
        <w:numPr>
          <w:ilvl w:val="0"/>
          <w:numId w:val="2"/>
        </w:numPr>
        <w:spacing w:after="120" w:line="240" w:lineRule="auto"/>
        <w:jc w:val="lowKashida"/>
        <w:rPr>
          <w:rFonts w:asciiTheme="majorBidi" w:hAnsiTheme="majorBidi" w:cstheme="majorBidi"/>
          <w:b/>
          <w:bCs/>
          <w:sz w:val="20"/>
          <w:szCs w:val="20"/>
        </w:rPr>
      </w:pPr>
      <w:r w:rsidRPr="000C69FB">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0C69FB" w:rsidRPr="000C69FB" w:rsidRDefault="000C69FB" w:rsidP="000C69FB">
      <w:pPr>
        <w:numPr>
          <w:ilvl w:val="0"/>
          <w:numId w:val="2"/>
        </w:numPr>
        <w:spacing w:after="120" w:line="240" w:lineRule="auto"/>
        <w:jc w:val="lowKashida"/>
        <w:rPr>
          <w:rFonts w:asciiTheme="majorBidi" w:hAnsiTheme="majorBidi" w:cstheme="majorBidi"/>
          <w:b/>
          <w:bCs/>
          <w:sz w:val="20"/>
          <w:szCs w:val="20"/>
        </w:rPr>
      </w:pPr>
      <w:r w:rsidRPr="000C69FB">
        <w:rPr>
          <w:rFonts w:asciiTheme="majorBidi" w:hAnsiTheme="majorBidi" w:cstheme="majorBidi"/>
          <w:b/>
          <w:bCs/>
          <w:sz w:val="20"/>
          <w:szCs w:val="20"/>
          <w:rtl/>
        </w:rPr>
        <w:t>أبو زهرة، محمد أبو زهرة، (المعجزة الكبرى القرآن)  ، دار طيب للنشر، 2003م</w:t>
      </w:r>
    </w:p>
    <w:p w:rsidR="000C69FB" w:rsidRPr="000C69FB" w:rsidRDefault="000C69FB" w:rsidP="000C69FB">
      <w:pPr>
        <w:numPr>
          <w:ilvl w:val="0"/>
          <w:numId w:val="2"/>
        </w:numPr>
        <w:spacing w:after="120" w:line="240" w:lineRule="auto"/>
        <w:jc w:val="lowKashida"/>
        <w:rPr>
          <w:rFonts w:asciiTheme="majorBidi" w:hAnsiTheme="majorBidi" w:cstheme="majorBidi"/>
          <w:b/>
          <w:bCs/>
          <w:sz w:val="20"/>
          <w:szCs w:val="20"/>
        </w:rPr>
      </w:pPr>
      <w:r w:rsidRPr="000C69FB">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0C69FB" w:rsidRPr="000C69FB" w:rsidRDefault="000C69FB" w:rsidP="000C69FB">
      <w:pPr>
        <w:numPr>
          <w:ilvl w:val="0"/>
          <w:numId w:val="2"/>
        </w:numPr>
        <w:spacing w:after="120" w:line="240" w:lineRule="auto"/>
        <w:jc w:val="lowKashida"/>
        <w:rPr>
          <w:rFonts w:asciiTheme="majorBidi" w:hAnsiTheme="majorBidi" w:cstheme="majorBidi"/>
          <w:b/>
          <w:bCs/>
          <w:sz w:val="20"/>
          <w:szCs w:val="20"/>
        </w:rPr>
      </w:pPr>
      <w:r w:rsidRPr="000C69FB">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0C69FB" w:rsidRDefault="000C69FB" w:rsidP="000C69FB">
      <w:pPr>
        <w:spacing w:line="240" w:lineRule="auto"/>
        <w:rPr>
          <w:rtl/>
        </w:rPr>
        <w:sectPr w:rsidR="000C69FB" w:rsidSect="000C69FB">
          <w:type w:val="continuous"/>
          <w:pgSz w:w="11906" w:h="16838"/>
          <w:pgMar w:top="964" w:right="1021" w:bottom="964" w:left="1021" w:header="709" w:footer="709" w:gutter="0"/>
          <w:cols w:num="2" w:space="708"/>
          <w:bidi/>
          <w:rtlGutter/>
          <w:docGrid w:linePitch="360"/>
        </w:sectPr>
      </w:pPr>
    </w:p>
    <w:p w:rsidR="000C69FB" w:rsidRPr="000C69FB" w:rsidRDefault="000C69FB" w:rsidP="000C69FB">
      <w:pPr>
        <w:spacing w:line="240" w:lineRule="auto"/>
      </w:pPr>
    </w:p>
    <w:sectPr w:rsidR="000C69FB" w:rsidRPr="000C69FB" w:rsidSect="000C69FB">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055">
    <w:panose1 w:val="02000400000000000000"/>
    <w:charset w:val="00"/>
    <w:family w:val="auto"/>
    <w:pitch w:val="variable"/>
    <w:sig w:usb0="80002003" w:usb1="90000000" w:usb2="00000008" w:usb3="00000000" w:csb0="80000041" w:csb1="00000000"/>
  </w:font>
  <w:font w:name="QCF_P247">
    <w:panose1 w:val="02000400000000000000"/>
    <w:charset w:val="00"/>
    <w:family w:val="auto"/>
    <w:pitch w:val="variable"/>
    <w:sig w:usb0="80002003" w:usb1="90000000" w:usb2="00000008" w:usb3="00000000" w:csb0="80000041" w:csb1="00000000"/>
  </w:font>
  <w:font w:name="QCF_P391">
    <w:panose1 w:val="02000400000000000000"/>
    <w:charset w:val="00"/>
    <w:family w:val="auto"/>
    <w:pitch w:val="variable"/>
    <w:sig w:usb0="80002003" w:usb1="90000000" w:usb2="00000008" w:usb3="00000000" w:csb0="80000041" w:csb1="00000000"/>
  </w:font>
  <w:font w:name="QCF_P402">
    <w:panose1 w:val="02000400000000000000"/>
    <w:charset w:val="00"/>
    <w:family w:val="auto"/>
    <w:pitch w:val="variable"/>
    <w:sig w:usb0="80002003" w:usb1="90000000" w:usb2="00000008" w:usb3="00000000" w:csb0="80000041" w:csb1="00000000"/>
  </w:font>
  <w:font w:name="QCF_P227">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576">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213">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96CEDE42"/>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0C69FB"/>
    <w:rsid w:val="000C69FB"/>
    <w:rsid w:val="00117E83"/>
    <w:rsid w:val="0030396F"/>
    <w:rsid w:val="00514443"/>
    <w:rsid w:val="009556CB"/>
    <w:rsid w:val="00A94A53"/>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0C69FB"/>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0C69F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69F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2013-06-22T14:34:00Z</dcterms:created>
  <dcterms:modified xsi:type="dcterms:W3CDTF">2013-06-26T22:17:00Z</dcterms:modified>
</cp:coreProperties>
</file>