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A02B5C" w:rsidRDefault="00A02B5C" w:rsidP="00A02B5C">
      <w:pPr>
        <w:spacing w:line="240" w:lineRule="auto"/>
        <w:jc w:val="center"/>
        <w:rPr>
          <w:i/>
          <w:iCs/>
          <w:sz w:val="48"/>
          <w:szCs w:val="48"/>
          <w:rtl/>
        </w:rPr>
      </w:pPr>
      <w:r w:rsidRPr="00A02B5C">
        <w:rPr>
          <w:rFonts w:asciiTheme="majorBidi" w:eastAsia="Calibri" w:hAnsiTheme="majorBidi" w:cstheme="majorBidi"/>
          <w:i/>
          <w:iCs/>
          <w:sz w:val="48"/>
          <w:szCs w:val="48"/>
          <w:rtl/>
        </w:rPr>
        <w:t>الوجوه من العاشر إلى الحادي عشر في الرد على من زعم أن النبي قد نقل القرآن من غيره</w:t>
      </w:r>
    </w:p>
    <w:p w:rsidR="00A02B5C" w:rsidRPr="00A02B5C" w:rsidRDefault="00A02B5C" w:rsidP="00A02B5C">
      <w:pPr>
        <w:spacing w:line="240" w:lineRule="auto"/>
        <w:jc w:val="center"/>
        <w:rPr>
          <w:i/>
          <w:iCs/>
          <w:sz w:val="48"/>
          <w:szCs w:val="48"/>
          <w:rtl/>
        </w:rPr>
      </w:pPr>
      <w:r w:rsidRPr="00A02B5C">
        <w:rPr>
          <w:rFonts w:hint="cs"/>
          <w:i/>
          <w:iCs/>
          <w:sz w:val="48"/>
          <w:szCs w:val="48"/>
          <w:rtl/>
        </w:rPr>
        <w:t>(1)</w:t>
      </w:r>
    </w:p>
    <w:p w:rsidR="00BC32E7" w:rsidRPr="00634035" w:rsidRDefault="00BC32E7" w:rsidP="00BC32E7">
      <w:pPr>
        <w:pStyle w:val="papersubtitle"/>
        <w:bidi/>
        <w:rPr>
          <w:i/>
          <w:iCs/>
          <w:rtl/>
        </w:rPr>
      </w:pPr>
      <w:r w:rsidRPr="00634035">
        <w:rPr>
          <w:i/>
          <w:iCs/>
          <w:rtl/>
        </w:rPr>
        <w:t xml:space="preserve">بحث  فى </w:t>
      </w:r>
      <w:r w:rsidRPr="00634035">
        <w:rPr>
          <w:rFonts w:hint="cs"/>
          <w:i/>
          <w:iCs/>
          <w:rtl/>
        </w:rPr>
        <w:t>دفاع عن القراَن</w:t>
      </w:r>
    </w:p>
    <w:p w:rsidR="00BC32E7" w:rsidRPr="009264EA" w:rsidRDefault="00BC32E7" w:rsidP="00BC32E7">
      <w:pPr>
        <w:pStyle w:val="papersubtitle"/>
        <w:bidi/>
        <w:rPr>
          <w:i/>
          <w:iCs/>
          <w:sz w:val="24"/>
          <w:szCs w:val="24"/>
        </w:rPr>
      </w:pPr>
      <w:r w:rsidRPr="009264EA">
        <w:rPr>
          <w:i/>
          <w:iCs/>
          <w:sz w:val="24"/>
          <w:szCs w:val="24"/>
          <w:rtl/>
        </w:rPr>
        <w:t xml:space="preserve">إعداد أ/ </w:t>
      </w:r>
      <w:r w:rsidRPr="00982C7F">
        <w:rPr>
          <w:rFonts w:hint="cs"/>
          <w:i/>
          <w:iCs/>
          <w:sz w:val="24"/>
          <w:szCs w:val="24"/>
          <w:rtl/>
        </w:rPr>
        <w:t>عادل</w:t>
      </w:r>
      <w:r w:rsidRPr="00982C7F">
        <w:rPr>
          <w:i/>
          <w:iCs/>
          <w:sz w:val="24"/>
          <w:szCs w:val="24"/>
          <w:rtl/>
        </w:rPr>
        <w:t xml:space="preserve"> </w:t>
      </w:r>
      <w:r w:rsidRPr="00982C7F">
        <w:rPr>
          <w:rFonts w:hint="cs"/>
          <w:i/>
          <w:iCs/>
          <w:sz w:val="24"/>
          <w:szCs w:val="24"/>
          <w:rtl/>
        </w:rPr>
        <w:t>محمد</w:t>
      </w:r>
      <w:r w:rsidRPr="00982C7F">
        <w:rPr>
          <w:i/>
          <w:iCs/>
          <w:sz w:val="24"/>
          <w:szCs w:val="24"/>
          <w:rtl/>
        </w:rPr>
        <w:t xml:space="preserve"> </w:t>
      </w:r>
      <w:r w:rsidRPr="00982C7F">
        <w:rPr>
          <w:rFonts w:hint="cs"/>
          <w:i/>
          <w:iCs/>
          <w:sz w:val="24"/>
          <w:szCs w:val="24"/>
          <w:rtl/>
        </w:rPr>
        <w:t>فتحي</w:t>
      </w:r>
    </w:p>
    <w:p w:rsidR="00BC32E7" w:rsidRPr="009264EA" w:rsidRDefault="00BC32E7" w:rsidP="00BC32E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C32E7" w:rsidRPr="009264EA" w:rsidRDefault="00BC32E7" w:rsidP="00BC32E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C32E7" w:rsidRPr="009264EA" w:rsidRDefault="00BC32E7" w:rsidP="00BC32E7">
      <w:pPr>
        <w:pStyle w:val="papersubtitle"/>
        <w:bidi/>
        <w:rPr>
          <w:i/>
          <w:iCs/>
          <w:sz w:val="22"/>
          <w:szCs w:val="22"/>
          <w:rtl/>
        </w:rPr>
      </w:pPr>
      <w:r w:rsidRPr="009264EA">
        <w:rPr>
          <w:i/>
          <w:iCs/>
          <w:sz w:val="22"/>
          <w:szCs w:val="22"/>
          <w:rtl/>
        </w:rPr>
        <w:t>شاه علم – ماليزيا</w:t>
      </w:r>
    </w:p>
    <w:p w:rsidR="00BC32E7" w:rsidRDefault="00BC32E7" w:rsidP="00BC32E7">
      <w:pPr>
        <w:spacing w:after="120" w:line="240" w:lineRule="auto"/>
        <w:jc w:val="center"/>
        <w:rPr>
          <w:rFonts w:asciiTheme="majorBidi" w:hAnsiTheme="majorBidi" w:cstheme="majorBidi" w:hint="cs"/>
          <w:b/>
          <w:bCs/>
          <w:sz w:val="20"/>
          <w:szCs w:val="20"/>
          <w:rtl/>
          <w:lang w:bidi="ar-EG"/>
        </w:rPr>
      </w:pPr>
      <w:r w:rsidRPr="00982C7F">
        <w:rPr>
          <w:rFonts w:asciiTheme="majorBidi" w:hAnsiTheme="majorBidi" w:cs="AL-Hotham"/>
          <w:i/>
          <w:iCs/>
        </w:rPr>
        <w:t>adel.mater@mediu.edu.my</w:t>
      </w:r>
    </w:p>
    <w:p w:rsidR="00BC32E7" w:rsidRDefault="00BC32E7" w:rsidP="00BC32E7">
      <w:pPr>
        <w:spacing w:after="120" w:line="240" w:lineRule="auto"/>
        <w:jc w:val="center"/>
        <w:rPr>
          <w:rFonts w:asciiTheme="majorBidi" w:hAnsiTheme="majorBidi" w:cstheme="majorBidi" w:hint="cs"/>
          <w:b/>
          <w:bCs/>
          <w:sz w:val="20"/>
          <w:szCs w:val="20"/>
          <w:rtl/>
          <w:lang w:bidi="ar-EG"/>
        </w:rPr>
      </w:pPr>
    </w:p>
    <w:p w:rsidR="00A02B5C" w:rsidRDefault="00A02B5C" w:rsidP="00A02B5C">
      <w:pPr>
        <w:spacing w:after="120" w:line="240" w:lineRule="auto"/>
        <w:rPr>
          <w:rFonts w:asciiTheme="majorBidi" w:hAnsiTheme="majorBidi" w:cstheme="majorBidi"/>
          <w:b/>
          <w:bCs/>
          <w:sz w:val="20"/>
          <w:szCs w:val="20"/>
          <w:rtl/>
          <w:lang w:bidi="ar-EG"/>
        </w:rPr>
        <w:sectPr w:rsidR="00A02B5C" w:rsidSect="00BF7572">
          <w:pgSz w:w="11906" w:h="16838"/>
          <w:pgMar w:top="964" w:right="1021" w:bottom="964" w:left="1021" w:header="709" w:footer="709" w:gutter="0"/>
          <w:cols w:space="708"/>
          <w:bidi/>
          <w:rtlGutter/>
          <w:docGrid w:linePitch="360"/>
        </w:sectPr>
      </w:pPr>
    </w:p>
    <w:p w:rsidR="00A02B5C" w:rsidRPr="00A02B5C" w:rsidRDefault="00A02B5C" w:rsidP="00A02B5C">
      <w:pPr>
        <w:spacing w:after="120" w:line="240" w:lineRule="auto"/>
        <w:rPr>
          <w:rFonts w:asciiTheme="majorBidi" w:hAnsiTheme="majorBidi" w:cstheme="majorBidi"/>
          <w:b/>
          <w:bCs/>
          <w:sz w:val="20"/>
          <w:szCs w:val="20"/>
          <w:rtl/>
        </w:rPr>
      </w:pPr>
      <w:r w:rsidRPr="00A02B5C">
        <w:rPr>
          <w:rFonts w:asciiTheme="majorBidi" w:hAnsiTheme="majorBidi" w:cstheme="majorBidi"/>
          <w:b/>
          <w:bCs/>
          <w:sz w:val="20"/>
          <w:szCs w:val="20"/>
          <w:rtl/>
        </w:rPr>
        <w:lastRenderedPageBreak/>
        <w:t xml:space="preserve">خلاصة ـــ هذا البحث يبحث في </w:t>
      </w:r>
      <w:r w:rsidRPr="00A02B5C">
        <w:rPr>
          <w:rFonts w:asciiTheme="majorBidi" w:eastAsia="Calibri" w:hAnsiTheme="majorBidi" w:cstheme="majorBidi"/>
          <w:b/>
          <w:bCs/>
          <w:sz w:val="20"/>
          <w:szCs w:val="20"/>
          <w:rtl/>
        </w:rPr>
        <w:t>الوجوه من العاشر إلى الحادي عشر في الرد على من زعم أن النبي قد نقل القرآن من غيره</w:t>
      </w:r>
    </w:p>
    <w:p w:rsidR="00A02B5C" w:rsidRPr="00A02B5C" w:rsidRDefault="00A02B5C" w:rsidP="00A02B5C">
      <w:pPr>
        <w:spacing w:after="120" w:line="240" w:lineRule="auto"/>
        <w:rPr>
          <w:rFonts w:asciiTheme="majorBidi" w:hAnsiTheme="majorBidi" w:cstheme="majorBidi"/>
          <w:b/>
          <w:bCs/>
          <w:sz w:val="20"/>
          <w:szCs w:val="20"/>
          <w:rtl/>
          <w:lang w:bidi="ar-EG"/>
        </w:rPr>
      </w:pPr>
      <w:r w:rsidRPr="00A02B5C">
        <w:rPr>
          <w:rFonts w:asciiTheme="majorBidi" w:hAnsiTheme="majorBidi" w:cstheme="majorBidi"/>
          <w:b/>
          <w:bCs/>
          <w:sz w:val="20"/>
          <w:szCs w:val="20"/>
          <w:rtl/>
        </w:rPr>
        <w:t>الكلمات المفتاحية :</w:t>
      </w:r>
      <w:r w:rsidRPr="00A02B5C">
        <w:rPr>
          <w:rFonts w:asciiTheme="majorBidi" w:hAnsiTheme="majorBidi" w:cstheme="majorBidi"/>
          <w:b/>
          <w:bCs/>
          <w:sz w:val="20"/>
          <w:szCs w:val="20"/>
          <w:rtl/>
          <w:lang w:bidi="ar-EG"/>
        </w:rPr>
        <w:t xml:space="preserve"> القرآن</w:t>
      </w:r>
      <w:r w:rsidRPr="00A02B5C">
        <w:rPr>
          <w:rFonts w:asciiTheme="majorBidi" w:hAnsiTheme="majorBidi" w:cstheme="majorBidi"/>
          <w:b/>
          <w:bCs/>
          <w:sz w:val="20"/>
          <w:szCs w:val="20"/>
          <w:rtl/>
        </w:rPr>
        <w:t xml:space="preserve"> ،</w:t>
      </w:r>
      <w:r w:rsidRPr="00A02B5C">
        <w:rPr>
          <w:rFonts w:asciiTheme="majorBidi" w:hAnsiTheme="majorBidi" w:cstheme="majorBidi"/>
          <w:b/>
          <w:bCs/>
          <w:sz w:val="20"/>
          <w:szCs w:val="20"/>
          <w:rtl/>
          <w:lang w:bidi="ar-EG"/>
        </w:rPr>
        <w:t xml:space="preserve"> القصص</w:t>
      </w:r>
      <w:r w:rsidRPr="00A02B5C">
        <w:rPr>
          <w:rFonts w:asciiTheme="majorBidi" w:hAnsiTheme="majorBidi" w:cstheme="majorBidi"/>
          <w:b/>
          <w:bCs/>
          <w:sz w:val="20"/>
          <w:szCs w:val="20"/>
          <w:rtl/>
        </w:rPr>
        <w:t xml:space="preserve"> ،</w:t>
      </w:r>
      <w:r w:rsidRPr="00A02B5C">
        <w:rPr>
          <w:rFonts w:asciiTheme="majorBidi" w:hAnsiTheme="majorBidi" w:cstheme="majorBidi"/>
          <w:b/>
          <w:bCs/>
          <w:sz w:val="20"/>
          <w:szCs w:val="20"/>
          <w:rtl/>
          <w:lang w:bidi="ar-EG"/>
        </w:rPr>
        <w:t xml:space="preserve"> اليهود والنصارى</w:t>
      </w:r>
      <w:r w:rsidRPr="00A02B5C">
        <w:rPr>
          <w:rFonts w:asciiTheme="majorBidi" w:hAnsiTheme="majorBidi" w:cstheme="majorBidi"/>
          <w:b/>
          <w:bCs/>
          <w:sz w:val="20"/>
          <w:szCs w:val="20"/>
          <w:rtl/>
        </w:rPr>
        <w:t xml:space="preserve"> </w:t>
      </w:r>
    </w:p>
    <w:p w:rsidR="00A02B5C" w:rsidRPr="00A02B5C" w:rsidRDefault="00A02B5C" w:rsidP="00A02B5C">
      <w:pPr>
        <w:pStyle w:val="ListParagraph"/>
        <w:numPr>
          <w:ilvl w:val="0"/>
          <w:numId w:val="1"/>
        </w:numPr>
        <w:spacing w:after="120"/>
        <w:jc w:val="center"/>
        <w:rPr>
          <w:rFonts w:asciiTheme="majorBidi" w:hAnsiTheme="majorBidi" w:cstheme="majorBidi"/>
          <w:b/>
          <w:bCs/>
          <w:sz w:val="20"/>
          <w:szCs w:val="20"/>
          <w:rtl/>
        </w:rPr>
      </w:pPr>
      <w:r w:rsidRPr="00A02B5C">
        <w:rPr>
          <w:rFonts w:asciiTheme="majorBidi" w:hAnsiTheme="majorBidi" w:cstheme="majorBidi"/>
          <w:b/>
          <w:bCs/>
          <w:sz w:val="20"/>
          <w:szCs w:val="20"/>
          <w:rtl/>
        </w:rPr>
        <w:t>المقدمة</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02B5C">
        <w:rPr>
          <w:rFonts w:asciiTheme="majorBidi" w:eastAsia="Calibri" w:hAnsiTheme="majorBidi" w:cstheme="majorBidi"/>
          <w:b/>
          <w:bCs/>
          <w:sz w:val="20"/>
          <w:szCs w:val="20"/>
          <w:rtl/>
        </w:rPr>
        <w:t>الوجوه من العاشر إلى الحادي عشر في الرد على من زعم أن النبي قد نقل القرآن من غيره</w:t>
      </w:r>
    </w:p>
    <w:p w:rsidR="00A02B5C" w:rsidRPr="00A02B5C" w:rsidRDefault="00A02B5C" w:rsidP="00A02B5C">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A02B5C">
        <w:rPr>
          <w:rFonts w:asciiTheme="majorBidi" w:hAnsiTheme="majorBidi" w:cstheme="majorBidi"/>
          <w:b/>
          <w:bCs/>
          <w:sz w:val="20"/>
          <w:szCs w:val="20"/>
          <w:rtl/>
        </w:rPr>
        <w:t>عنوان المقال</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الو</w:t>
      </w:r>
      <w:r w:rsidRPr="00A02B5C">
        <w:rPr>
          <w:rFonts w:asciiTheme="majorBidi" w:hAnsiTheme="majorBidi" w:cstheme="majorBidi"/>
          <w:b/>
          <w:bCs/>
          <w:color w:val="000080"/>
          <w:sz w:val="20"/>
          <w:szCs w:val="20"/>
          <w:rtl/>
          <w:lang w:bidi="ar-EG"/>
        </w:rPr>
        <w:t xml:space="preserve">جه العاشر: </w:t>
      </w:r>
      <w:r w:rsidRPr="00A02B5C">
        <w:rPr>
          <w:rFonts w:asciiTheme="majorBidi" w:hAnsiTheme="majorBidi" w:cstheme="majorBidi"/>
          <w:b/>
          <w:bCs/>
          <w:sz w:val="20"/>
          <w:szCs w:val="20"/>
          <w:rtl/>
          <w:lang w:bidi="ar-EG"/>
        </w:rPr>
        <w:t>من المعلوم أن في القرآن ما لا وجود له في كتب اليهود والنصارى، وعلى سبيل المثال: قصة هود، وصالح، وشعيب.</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 xml:space="preserve">هذه القصص لم يأت لها ذكر في كتب اليهود والنصارى، والسؤال الملح الذي يفرض نفسه، ويحتاج إلى إجابة هذا السؤال يقول: كيف أتى النبي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xml:space="preserve"> بهذه القصص، ومن أين أتى بها إذن؟</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color w:val="000080"/>
          <w:sz w:val="20"/>
          <w:szCs w:val="20"/>
          <w:rtl/>
          <w:lang w:bidi="ar-EG"/>
        </w:rPr>
        <w:t>الوجه الحادي عشر:</w:t>
      </w:r>
      <w:r w:rsidRPr="00A02B5C">
        <w:rPr>
          <w:rFonts w:asciiTheme="majorBidi" w:hAnsiTheme="majorBidi" w:cstheme="majorBidi"/>
          <w:b/>
          <w:bCs/>
          <w:sz w:val="20"/>
          <w:szCs w:val="20"/>
          <w:rtl/>
          <w:lang w:bidi="ar-EG"/>
        </w:rPr>
        <w:t xml:space="preserve"> إذا كان النبي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xml:space="preserve"> قد أخذ القرآن من النصارى الذين خالطهم من أمثال سلمان، وصهيب، وورقة بن نوفل، فلِمَ لَمْ يفضحوه عندما سب النصارى؟ </w:t>
      </w:r>
      <w:r w:rsidRPr="00A02B5C">
        <w:rPr>
          <w:rFonts w:asciiTheme="majorBidi" w:hAnsiTheme="majorBidi" w:cstheme="majorBidi"/>
          <w:b/>
          <w:bCs/>
          <w:spacing w:val="-4"/>
          <w:sz w:val="20"/>
          <w:szCs w:val="20"/>
          <w:rtl/>
          <w:lang w:bidi="ar-EG"/>
        </w:rPr>
        <w:t xml:space="preserve">ولِمَ لَمْ يفضحوه عندما كفر النصارى في كتابه في عدة آيات؟ حتى إن سورة المائدة، وهي من آخر السور نزولًا كانت من أكثر السور تكفيرًا للنصارى، فلِمَ لَمْ يفضحوه؟ ولِمَ لَمْ يكشفوا أمره عندما سبهم، وعندما كفرهم </w:t>
      </w:r>
      <w:r w:rsidRPr="00A02B5C">
        <w:rPr>
          <w:rFonts w:asciiTheme="majorBidi" w:hAnsiTheme="majorBidi" w:cstheme="majorBidi"/>
          <w:b/>
          <w:bCs/>
          <w:spacing w:val="-4"/>
          <w:position w:val="-4"/>
          <w:sz w:val="20"/>
          <w:szCs w:val="20"/>
          <w:lang w:bidi="ar-EG"/>
        </w:rPr>
        <w:t></w:t>
      </w:r>
      <w:r w:rsidRPr="00A02B5C">
        <w:rPr>
          <w:rFonts w:asciiTheme="majorBidi" w:hAnsiTheme="majorBidi" w:cstheme="majorBidi"/>
          <w:b/>
          <w:bCs/>
          <w:sz w:val="20"/>
          <w:szCs w:val="20"/>
          <w:rtl/>
          <w:lang w:bidi="ar-EG"/>
        </w:rPr>
        <w:t xml:space="preserve"> في آيات القرآن؟</w:t>
      </w:r>
    </w:p>
    <w:p w:rsidR="00A02B5C" w:rsidRPr="00A02B5C" w:rsidRDefault="00A02B5C" w:rsidP="00A02B5C">
      <w:pPr>
        <w:pStyle w:val="NormalWeb"/>
        <w:bidi/>
        <w:spacing w:before="0" w:beforeAutospacing="0" w:after="120" w:afterAutospacing="0"/>
        <w:jc w:val="both"/>
        <w:rPr>
          <w:rFonts w:asciiTheme="majorBidi" w:hAnsiTheme="majorBidi" w:cstheme="majorBidi"/>
          <w:b/>
          <w:bCs/>
          <w:sz w:val="20"/>
          <w:szCs w:val="20"/>
          <w:rtl/>
        </w:rPr>
      </w:pPr>
      <w:r w:rsidRPr="00A02B5C">
        <w:rPr>
          <w:rFonts w:asciiTheme="majorBidi" w:hAnsiTheme="majorBidi" w:cstheme="majorBidi"/>
          <w:b/>
          <w:bCs/>
          <w:sz w:val="20"/>
          <w:szCs w:val="20"/>
          <w:rtl/>
          <w:lang w:bidi="ar-EG"/>
        </w:rPr>
        <w:t xml:space="preserve">من هذه الآيات قوله </w:t>
      </w:r>
      <w:r w:rsidRPr="00A02B5C">
        <w:rPr>
          <w:b/>
          <w:bCs/>
          <w:position w:val="-4"/>
          <w:sz w:val="20"/>
          <w:szCs w:val="20"/>
          <w:lang w:bidi="ar-EG"/>
        </w:rPr>
        <w:t></w:t>
      </w:r>
      <w:r w:rsidRPr="00A02B5C">
        <w:rPr>
          <w:rFonts w:asciiTheme="majorBidi" w:hAnsiTheme="majorBidi" w:cstheme="majorBidi"/>
          <w:b/>
          <w:bCs/>
          <w:sz w:val="20"/>
          <w:szCs w:val="20"/>
          <w:rtl/>
          <w:lang w:bidi="ar-EG"/>
        </w:rPr>
        <w:t xml:space="preserve"> في سورة المائدة:</w:t>
      </w:r>
      <w:r w:rsidRPr="00A02B5C">
        <w:rPr>
          <w:rFonts w:ascii="Lotus Linotype" w:hAnsi="Lotus Linotype" w:cs="AL-Hotham"/>
          <w:b/>
          <w:bCs/>
          <w:sz w:val="20"/>
          <w:szCs w:val="20"/>
          <w:rtl/>
          <w:lang w:bidi="ar-EG"/>
        </w:rPr>
        <w:t xml:space="preserve"> </w:t>
      </w:r>
      <w:r w:rsidRPr="00A02B5C">
        <w:rPr>
          <w:rFonts w:ascii="Lotus Linotype" w:hAnsi="Lotus Linotype" w:cs="DecoType Thuluth"/>
          <w:b/>
          <w:bCs/>
          <w:color w:val="008000"/>
          <w:sz w:val="20"/>
          <w:szCs w:val="20"/>
          <w:rtl/>
          <w:lang w:bidi="ar-EG"/>
        </w:rPr>
        <w:t>{</w:t>
      </w:r>
      <w:r w:rsidRPr="00A02B5C">
        <w:rPr>
          <w:rFonts w:ascii="QCF_P110" w:hAnsi="QCF_P110" w:cs="QCF_P110"/>
          <w:b/>
          <w:bCs/>
          <w:color w:val="008000"/>
          <w:sz w:val="20"/>
          <w:szCs w:val="20"/>
          <w:rtl/>
        </w:rPr>
        <w:t>ﮘ ﮙ ﮚ ﮛ ﮜ ﮝ ﮞ ﮟ ﮠ ﮡ ﮢ ﮣ ﮤ ﮥ ﮦ ﮧ ﮨ ﮩ ﮪ ﮫ ﮬ ﮭ ﮮ ﮯ ﮰ ﮱ ﯓ ﯔ ﯕ ﯖ ﯗ ﯘ ﯙ ﯚ ﯛ ﯜ ﯝ ﯞ ﯟ ﯠ ﯡ ﯢ ﯣ ﯤ ﯥ ﯦ ﯧ</w:t>
      </w:r>
      <w:r w:rsidRPr="00A02B5C">
        <w:rPr>
          <w:rFonts w:ascii="QCF_P111" w:hAnsi="QCF_P111" w:cs="QCF_P111"/>
          <w:b/>
          <w:bCs/>
          <w:color w:val="008000"/>
          <w:sz w:val="20"/>
          <w:szCs w:val="20"/>
          <w:rtl/>
        </w:rPr>
        <w:t>ﭑ ﭒ ﭓ ﭔ ﭕ ﭖ ﭗ ﭘ ﭙ ﭚ ﭛ ﭜ ﭝ ﭞ ﭟ ﭠ ﭡ ﭢ ﭣ ﭤ ﭥ ﭦ ﭧ ﭨ ﭩ ﭪ ﭫ ﭬ ﭭ ﭮ ﭯ ﭰ ﭱ ﭲ ﭳ</w:t>
      </w:r>
      <w:r w:rsidRPr="00A02B5C">
        <w:rPr>
          <w:rFonts w:asciiTheme="majorBidi" w:hAnsiTheme="majorBidi" w:cstheme="majorBidi"/>
          <w:b/>
          <w:bCs/>
          <w:color w:val="008000"/>
          <w:sz w:val="20"/>
          <w:szCs w:val="20"/>
          <w:rtl/>
        </w:rPr>
        <w:t>}</w:t>
      </w:r>
      <w:r w:rsidRPr="00A02B5C">
        <w:rPr>
          <w:rFonts w:asciiTheme="majorBidi" w:hAnsiTheme="majorBidi" w:cstheme="majorBidi"/>
          <w:b/>
          <w:bCs/>
          <w:color w:val="008000"/>
          <w:sz w:val="20"/>
          <w:szCs w:val="20"/>
          <w:rtl/>
          <w:lang w:bidi="ar-EG"/>
        </w:rPr>
        <w:t xml:space="preserve"> </w:t>
      </w:r>
      <w:r w:rsidRPr="00A02B5C">
        <w:rPr>
          <w:rFonts w:asciiTheme="majorBidi" w:hAnsiTheme="majorBidi" w:cstheme="majorBidi"/>
          <w:b/>
          <w:bCs/>
          <w:sz w:val="20"/>
          <w:szCs w:val="20"/>
          <w:rtl/>
          <w:lang w:bidi="ar-EG"/>
        </w:rPr>
        <w:t>[المائدة: 17، 18].</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فها نحن قد رأينا في الآيتين السابقتين. رأينا القرآن يصرح بتكفير الذين قالوا بألوهية المسيح، ورأينا كذلك ادعاء اليهود، والنصارى أنهم شعب الله المختار، وأنهم أبناء الله، وأحباؤه، ولكن القرآن رد عليهم ردًّا عقلانيًّا مفحمًا عندما قال:</w:t>
      </w:r>
      <w:r w:rsidRPr="00A02B5C">
        <w:rPr>
          <w:rFonts w:asciiTheme="majorBidi" w:hAnsiTheme="majorBidi" w:cstheme="majorBidi"/>
          <w:b/>
          <w:bCs/>
          <w:color w:val="008000"/>
          <w:sz w:val="20"/>
          <w:szCs w:val="20"/>
          <w:rtl/>
          <w:lang w:bidi="ar-EG"/>
        </w:rPr>
        <w:t xml:space="preserve"> </w:t>
      </w:r>
      <w:r w:rsidRPr="00A02B5C">
        <w:rPr>
          <w:rFonts w:ascii="Lotus Linotype" w:hAnsi="Lotus Linotype" w:cs="DecoType Thuluth"/>
          <w:b/>
          <w:bCs/>
          <w:color w:val="008000"/>
          <w:sz w:val="20"/>
          <w:szCs w:val="20"/>
          <w:rtl/>
          <w:lang w:bidi="ar-EG"/>
        </w:rPr>
        <w:t>{</w:t>
      </w:r>
      <w:r w:rsidRPr="00A02B5C">
        <w:rPr>
          <w:rFonts w:ascii="QCF_P111" w:hAnsi="QCF_P111" w:cs="QCF_P111"/>
          <w:b/>
          <w:bCs/>
          <w:color w:val="008000"/>
          <w:sz w:val="20"/>
          <w:szCs w:val="20"/>
          <w:rtl/>
        </w:rPr>
        <w:t>ﭙ ﭚ ﭛ ﭜ</w:t>
      </w:r>
      <w:r w:rsidRPr="00A02B5C">
        <w:rPr>
          <w:rFonts w:ascii="QCF_P111" w:hAnsi="QCF_P111" w:cs="DecoType Thuluth"/>
          <w:b/>
          <w:bCs/>
          <w:color w:val="008000"/>
          <w:sz w:val="20"/>
          <w:szCs w:val="20"/>
          <w:rtl/>
        </w:rPr>
        <w:t>}</w:t>
      </w:r>
      <w:r w:rsidRPr="00A02B5C">
        <w:rPr>
          <w:rFonts w:asciiTheme="majorBidi" w:hAnsiTheme="majorBidi" w:cstheme="majorBidi"/>
          <w:b/>
          <w:bCs/>
          <w:color w:val="008000"/>
          <w:sz w:val="20"/>
          <w:szCs w:val="20"/>
          <w:rtl/>
          <w:lang w:bidi="ar-EG"/>
        </w:rPr>
        <w:t xml:space="preserve"> </w:t>
      </w:r>
      <w:r w:rsidRPr="00A02B5C">
        <w:rPr>
          <w:rFonts w:asciiTheme="majorBidi" w:hAnsiTheme="majorBidi" w:cstheme="majorBidi"/>
          <w:b/>
          <w:bCs/>
          <w:sz w:val="20"/>
          <w:szCs w:val="20"/>
          <w:rtl/>
          <w:lang w:bidi="ar-EG"/>
        </w:rPr>
        <w:t>[المائدة: 18]، ثم يقرر القرآن الحقيقة في أنهم خلق كبقية خلق الله يقول لهم</w:t>
      </w:r>
      <w:r w:rsidRPr="00A02B5C">
        <w:rPr>
          <w:rFonts w:ascii="Lotus Linotype" w:hAnsi="Lotus Linotype" w:cs="AL-Hotham"/>
          <w:b/>
          <w:bCs/>
          <w:sz w:val="20"/>
          <w:szCs w:val="20"/>
          <w:rtl/>
          <w:lang w:bidi="ar-EG"/>
        </w:rPr>
        <w:t xml:space="preserve">: </w:t>
      </w:r>
      <w:r w:rsidRPr="00A02B5C">
        <w:rPr>
          <w:rFonts w:ascii="Lotus Linotype" w:hAnsi="Lotus Linotype" w:cs="DecoType Thuluth"/>
          <w:b/>
          <w:bCs/>
          <w:color w:val="008000"/>
          <w:sz w:val="20"/>
          <w:szCs w:val="20"/>
          <w:rtl/>
          <w:lang w:bidi="ar-EG"/>
        </w:rPr>
        <w:t>{</w:t>
      </w:r>
      <w:r w:rsidRPr="00A02B5C">
        <w:rPr>
          <w:rFonts w:ascii="QCF_P111" w:hAnsi="QCF_P111" w:cs="QCF_P111"/>
          <w:b/>
          <w:bCs/>
          <w:color w:val="008000"/>
          <w:sz w:val="20"/>
          <w:szCs w:val="20"/>
          <w:rtl/>
        </w:rPr>
        <w:t>ﭞ ﭟ ﭠ ﭡ ﭢ ﭣ ﭤ ﭥ ﭦ ﭧ ﭨ ﭩ</w:t>
      </w:r>
      <w:r w:rsidRPr="00A02B5C">
        <w:rPr>
          <w:rFonts w:ascii="Lotus Linotype" w:hAnsi="Lotus Linotype" w:cs="DecoType Thuluth"/>
          <w:b/>
          <w:bCs/>
          <w:color w:val="008000"/>
          <w:sz w:val="20"/>
          <w:szCs w:val="20"/>
          <w:rtl/>
          <w:lang w:bidi="ar-EG"/>
        </w:rPr>
        <w:t>}</w:t>
      </w:r>
      <w:r w:rsidRPr="00A02B5C">
        <w:rPr>
          <w:rFonts w:asciiTheme="majorBidi" w:hAnsiTheme="majorBidi" w:cstheme="majorBidi"/>
          <w:b/>
          <w:bCs/>
          <w:color w:val="008000"/>
          <w:sz w:val="20"/>
          <w:szCs w:val="20"/>
          <w:rtl/>
          <w:lang w:bidi="ar-EG"/>
        </w:rPr>
        <w:t xml:space="preserve"> </w:t>
      </w:r>
      <w:r w:rsidRPr="00A02B5C">
        <w:rPr>
          <w:rFonts w:asciiTheme="majorBidi" w:hAnsiTheme="majorBidi" w:cstheme="majorBidi"/>
          <w:b/>
          <w:bCs/>
          <w:sz w:val="20"/>
          <w:szCs w:val="20"/>
          <w:rtl/>
          <w:lang w:bidi="ar-EG"/>
        </w:rPr>
        <w:t>[المائدة: 18].</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lastRenderedPageBreak/>
        <w:t xml:space="preserve">ثم يعيد التأكيد على الحقيقة التي ذكرها في الآية السابقة بأن الملك لا يكون إلا لله وحده له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xml:space="preserve"> ملك السموات والأرض وما بينهما ومرجع جميع الخلائق لا يكون إلا إليه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xml:space="preserve"> يقول تعالى: </w:t>
      </w:r>
      <w:r w:rsidRPr="00A02B5C">
        <w:rPr>
          <w:rFonts w:ascii="Lotus Linotype" w:hAnsi="Lotus Linotype" w:cs="DecoType Thuluth"/>
          <w:b/>
          <w:bCs/>
          <w:color w:val="008000"/>
          <w:sz w:val="20"/>
          <w:szCs w:val="20"/>
          <w:rtl/>
          <w:lang w:bidi="ar-EG"/>
        </w:rPr>
        <w:t>{</w:t>
      </w:r>
      <w:r w:rsidRPr="00A02B5C">
        <w:rPr>
          <w:rFonts w:ascii="QCF_P111" w:hAnsi="QCF_P111" w:cs="QCF_P111"/>
          <w:b/>
          <w:bCs/>
          <w:color w:val="008000"/>
          <w:sz w:val="20"/>
          <w:szCs w:val="20"/>
          <w:rtl/>
        </w:rPr>
        <w:t>ﭫ ﭬ ﭭ ﭮ ﭯ ﭰ ﭱ ﭲ ﭳ</w:t>
      </w:r>
      <w:r w:rsidRPr="00A02B5C">
        <w:rPr>
          <w:rFonts w:ascii="Lotus Linotype" w:hAnsi="Lotus Linotype" w:cs="AL-Hotham"/>
          <w:b/>
          <w:bCs/>
          <w:color w:val="008000"/>
          <w:sz w:val="20"/>
          <w:szCs w:val="20"/>
          <w:rtl/>
          <w:lang w:bidi="ar-EG"/>
        </w:rPr>
        <w:t xml:space="preserve"> ر</w:t>
      </w:r>
      <w:r w:rsidRPr="00A02B5C">
        <w:rPr>
          <w:rFonts w:ascii="Lotus Linotype" w:hAnsi="Lotus Linotype" w:cs="DecoType Thuluth"/>
          <w:b/>
          <w:bCs/>
          <w:color w:val="008000"/>
          <w:sz w:val="20"/>
          <w:szCs w:val="20"/>
          <w:rtl/>
          <w:lang w:bidi="ar-EG"/>
        </w:rPr>
        <w:t>}</w:t>
      </w:r>
      <w:r w:rsidRPr="00A02B5C">
        <w:rPr>
          <w:rFonts w:ascii="Lotus Linotype" w:hAnsi="Lotus Linotype" w:cs="AL-Hotham"/>
          <w:b/>
          <w:bCs/>
          <w:color w:val="008000"/>
          <w:sz w:val="20"/>
          <w:szCs w:val="20"/>
          <w:rtl/>
          <w:lang w:bidi="ar-EG"/>
        </w:rPr>
        <w:t xml:space="preserve"> </w:t>
      </w:r>
      <w:r w:rsidRPr="00A02B5C">
        <w:rPr>
          <w:rFonts w:asciiTheme="majorBidi" w:hAnsiTheme="majorBidi" w:cstheme="majorBidi"/>
          <w:b/>
          <w:bCs/>
          <w:sz w:val="20"/>
          <w:szCs w:val="20"/>
          <w:rtl/>
          <w:lang w:bidi="ar-EG"/>
        </w:rPr>
        <w:t>[المائدة: 18].</w:t>
      </w:r>
    </w:p>
    <w:p w:rsidR="00A02B5C" w:rsidRPr="00A02B5C" w:rsidRDefault="00A02B5C" w:rsidP="00A02B5C">
      <w:pPr>
        <w:pStyle w:val="NormalWeb"/>
        <w:bidi/>
        <w:spacing w:before="0" w:beforeAutospacing="0" w:after="120" w:afterAutospacing="0"/>
        <w:jc w:val="both"/>
        <w:rPr>
          <w:rFonts w:asciiTheme="majorBidi" w:hAnsiTheme="majorBidi" w:cstheme="majorBidi"/>
          <w:b/>
          <w:bCs/>
          <w:sz w:val="20"/>
          <w:szCs w:val="20"/>
          <w:rtl/>
        </w:rPr>
      </w:pPr>
      <w:r w:rsidRPr="00A02B5C">
        <w:rPr>
          <w:rFonts w:asciiTheme="majorBidi" w:hAnsiTheme="majorBidi" w:cstheme="majorBidi"/>
          <w:b/>
          <w:bCs/>
          <w:sz w:val="20"/>
          <w:szCs w:val="20"/>
          <w:rtl/>
          <w:lang w:bidi="ar-EG"/>
        </w:rPr>
        <w:t xml:space="preserve">فإذا انتقلنا إلى موضع آخر من المواضع التي ذكر فيها القرآن عقيدة أهل الكتاب. </w:t>
      </w:r>
      <w:r w:rsidRPr="00A02B5C">
        <w:rPr>
          <w:rFonts w:asciiTheme="majorBidi" w:hAnsiTheme="majorBidi" w:cstheme="majorBidi"/>
          <w:b/>
          <w:bCs/>
          <w:spacing w:val="-4"/>
          <w:sz w:val="20"/>
          <w:szCs w:val="20"/>
          <w:rtl/>
          <w:lang w:bidi="ar-EG"/>
        </w:rPr>
        <w:t xml:space="preserve">ننتقل إلى قوله </w:t>
      </w:r>
      <w:r w:rsidRPr="00A02B5C">
        <w:rPr>
          <w:rFonts w:asciiTheme="majorBidi" w:hAnsiTheme="majorBidi" w:cstheme="majorBidi"/>
          <w:b/>
          <w:bCs/>
          <w:spacing w:val="-4"/>
          <w:position w:val="-4"/>
          <w:sz w:val="20"/>
          <w:szCs w:val="20"/>
          <w:lang w:bidi="ar-EG"/>
        </w:rPr>
        <w:t></w:t>
      </w:r>
      <w:r w:rsidRPr="00A02B5C">
        <w:rPr>
          <w:rFonts w:asciiTheme="majorBidi" w:hAnsiTheme="majorBidi" w:cstheme="majorBidi"/>
          <w:b/>
          <w:bCs/>
          <w:spacing w:val="-4"/>
          <w:sz w:val="20"/>
          <w:szCs w:val="20"/>
          <w:rtl/>
          <w:lang w:bidi="ar-EG"/>
        </w:rPr>
        <w:t xml:space="preserve"> في سورة المائدة قال تعالى: </w:t>
      </w:r>
      <w:r w:rsidRPr="00A02B5C">
        <w:rPr>
          <w:rFonts w:ascii="Lotus Linotype" w:hAnsi="Lotus Linotype" w:cs="DecoType Thuluth"/>
          <w:b/>
          <w:bCs/>
          <w:color w:val="008000"/>
          <w:spacing w:val="-4"/>
          <w:sz w:val="20"/>
          <w:szCs w:val="20"/>
          <w:rtl/>
          <w:lang w:bidi="ar-EG"/>
        </w:rPr>
        <w:t>{</w:t>
      </w:r>
      <w:r w:rsidRPr="00A02B5C">
        <w:rPr>
          <w:rFonts w:ascii="QCF_P120" w:hAnsi="QCF_P120" w:cs="QCF_P120"/>
          <w:b/>
          <w:bCs/>
          <w:color w:val="008000"/>
          <w:spacing w:val="-4"/>
          <w:sz w:val="20"/>
          <w:szCs w:val="20"/>
          <w:rtl/>
        </w:rPr>
        <w:t>ﭦ ﭧ ﭨ ﭩ ﭪ ﭫ ﭬ ﭭ ﭮ ﭯ ﭰ ﭱ ﭲ ﭳ ﭴ ﭵ ﭶ ﭷ ﭸ ﭹ ﭺ ﭻ ﭼ ﭽ ﭾ ﭿ ﮀ ﮁ ﮂ ﮃ ﮄ ﮅ ﮆ ﮇ ﮈ ﮉ ﮊ</w:t>
      </w:r>
      <w:r w:rsidRPr="00A02B5C">
        <w:rPr>
          <w:rFonts w:ascii="QCF_P120" w:hAnsi="QCF_P120" w:cs="QCF_P120" w:hint="cs"/>
          <w:b/>
          <w:bCs/>
          <w:color w:val="008000"/>
          <w:sz w:val="20"/>
          <w:szCs w:val="20"/>
          <w:rtl/>
        </w:rPr>
        <w:t xml:space="preserve"> </w:t>
      </w:r>
      <w:r w:rsidRPr="00A02B5C">
        <w:rPr>
          <w:rFonts w:ascii="QCF_P120" w:hAnsi="QCF_P120" w:cs="QCF_P120"/>
          <w:b/>
          <w:bCs/>
          <w:color w:val="008000"/>
          <w:sz w:val="20"/>
          <w:szCs w:val="20"/>
          <w:rtl/>
        </w:rPr>
        <w:t>ﮋ ﮌ ﮍ ﮎ ﮏ ﮐ ﮑ ﮒ ﮓ ﮔ ﮕ ﮖ ﮗ ﮘ ﮙ ﮚ ﮛ ﮜ ﮝ ﮞ ﮟ ﮠ ﮡ ﮢ ﮣ ﮤ ﮥ ﮦﮧ ﮨ ﮩ ﮪ ﮫ ﮬ ﮭ ﮮ ﮯ</w:t>
      </w:r>
      <w:r w:rsidRPr="00A02B5C">
        <w:rPr>
          <w:rFonts w:ascii="QCF_P120" w:hAnsi="QCF_P120" w:cs="DecoType Thuluth"/>
          <w:b/>
          <w:bCs/>
          <w:color w:val="008000"/>
          <w:sz w:val="20"/>
          <w:szCs w:val="20"/>
          <w:rtl/>
        </w:rPr>
        <w:t>}</w:t>
      </w:r>
      <w:r w:rsidRPr="00A02B5C">
        <w:rPr>
          <w:rFonts w:ascii="Lotus Linotype" w:hAnsi="Lotus Linotype" w:cs="AL-Hotham"/>
          <w:b/>
          <w:bCs/>
          <w:color w:val="008000"/>
          <w:sz w:val="20"/>
          <w:szCs w:val="20"/>
          <w:rtl/>
          <w:lang w:bidi="ar-EG"/>
        </w:rPr>
        <w:t xml:space="preserve"> </w:t>
      </w:r>
      <w:r w:rsidRPr="00A02B5C">
        <w:rPr>
          <w:rFonts w:asciiTheme="majorBidi" w:hAnsiTheme="majorBidi" w:cstheme="majorBidi"/>
          <w:b/>
          <w:bCs/>
          <w:sz w:val="20"/>
          <w:szCs w:val="20"/>
          <w:rtl/>
          <w:lang w:bidi="ar-EG"/>
        </w:rPr>
        <w:t>[المائدة: 72، 74].</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 xml:space="preserve">وهكذا نرى القرآن بكل صراحة يحكم بتكفير أهل الكتاب بسبب تلك العقائد التي اعتقدوها في المسيح </w:t>
      </w:r>
      <w:r w:rsidRPr="00A02B5C">
        <w:rPr>
          <w:rFonts w:asciiTheme="majorBidi" w:hAnsiTheme="majorBidi" w:cstheme="majorBidi"/>
          <w:b/>
          <w:bCs/>
          <w:position w:val="-4"/>
          <w:sz w:val="20"/>
          <w:szCs w:val="20"/>
          <w:rtl/>
          <w:lang w:bidi="ar-EG"/>
        </w:rPr>
        <w:t>#</w:t>
      </w:r>
      <w:r w:rsidRPr="00A02B5C">
        <w:rPr>
          <w:rFonts w:asciiTheme="majorBidi" w:hAnsiTheme="majorBidi" w:cstheme="majorBidi"/>
          <w:b/>
          <w:bCs/>
          <w:sz w:val="20"/>
          <w:szCs w:val="20"/>
          <w:rtl/>
          <w:lang w:bidi="ar-EG"/>
        </w:rPr>
        <w:t>.</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 xml:space="preserve">فإذا كان ذلك هو موقف القرآن من اليهود والنصارى، فكيف إذن يعقل أن يكون القرآن منقولًا عن كتب أهل الكتاب، أو مقتبسًا من كتب أهل الكتاب، أو متعلمًا من أهل الكتاب الذين عاصرهم النبي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وإذا كان ذلك واردًا، فلماذا لم يفضحوه عندما كفرهم في القرآن؟</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color w:val="000080"/>
          <w:sz w:val="20"/>
          <w:szCs w:val="20"/>
          <w:rtl/>
          <w:lang w:bidi="ar-EG"/>
        </w:rPr>
        <w:t>الوجه الثاني عشر:</w:t>
      </w:r>
      <w:r w:rsidRPr="00A02B5C">
        <w:rPr>
          <w:rFonts w:asciiTheme="majorBidi" w:hAnsiTheme="majorBidi" w:cstheme="majorBidi"/>
          <w:b/>
          <w:bCs/>
          <w:sz w:val="20"/>
          <w:szCs w:val="20"/>
          <w:rtl/>
          <w:lang w:bidi="ar-EG"/>
        </w:rPr>
        <w:t xml:space="preserve"> من تناقضهم في تلك الدعوى زعمهم أن النبي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xml:space="preserve"> قد أخذ القرآن من سلمان وصهيب النصرانيين، وأخذ القرآن من ابن سلام اليهودي، وغيرهم ممن أسلم من أهل الكتاب، وحقيقة الأمر أن إسلام هؤلاء حجة عليهم إذ لو كان النبي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xml:space="preserve"> قد أخذ القرآن والشريعة من أهل الكتاب، فلماذا إذن يتركون الأصل، ويذهبون إلى الفرع؟</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 xml:space="preserve">لماذا يتركون التوراة والإنجيل، ويذهبون إلى القرآن الذي جاء به النبي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ألا يقولون: إن التوراة والإنجيل هي الأصل، والقرآن هو الفرع، وهو الذي نقل من التوراة والإنجيل، أو اقتبس من التوراة والإنجيل؟</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pacing w:val="-6"/>
          <w:sz w:val="20"/>
          <w:szCs w:val="20"/>
          <w:rtl/>
        </w:rPr>
      </w:pPr>
      <w:r w:rsidRPr="00A02B5C">
        <w:rPr>
          <w:rFonts w:asciiTheme="majorBidi" w:hAnsiTheme="majorBidi" w:cstheme="majorBidi"/>
          <w:b/>
          <w:bCs/>
          <w:spacing w:val="-6"/>
          <w:sz w:val="20"/>
          <w:szCs w:val="20"/>
          <w:rtl/>
          <w:lang w:bidi="ar-EG"/>
        </w:rPr>
        <w:t xml:space="preserve">إذا كان ذلك كذلك، فلماذا يتركون الأصل، ويذهبون إلى الفرع، ويتبعون النبي </w:t>
      </w:r>
      <w:r w:rsidRPr="00A02B5C">
        <w:rPr>
          <w:rFonts w:asciiTheme="majorBidi" w:hAnsiTheme="majorBidi" w:cstheme="majorBidi"/>
          <w:b/>
          <w:bCs/>
          <w:spacing w:val="-6"/>
          <w:position w:val="-4"/>
          <w:sz w:val="20"/>
          <w:szCs w:val="20"/>
          <w:lang w:bidi="ar-EG"/>
        </w:rPr>
        <w:t></w:t>
      </w:r>
      <w:r w:rsidRPr="00A02B5C">
        <w:rPr>
          <w:rFonts w:asciiTheme="majorBidi" w:hAnsiTheme="majorBidi" w:cstheme="majorBidi"/>
          <w:b/>
          <w:bCs/>
          <w:spacing w:val="-6"/>
          <w:sz w:val="20"/>
          <w:szCs w:val="20"/>
          <w:rtl/>
          <w:lang w:bidi="ar-EG"/>
        </w:rPr>
        <w:t>.</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color w:val="000080"/>
          <w:sz w:val="20"/>
          <w:szCs w:val="20"/>
          <w:rtl/>
          <w:lang w:bidi="ar-EG"/>
        </w:rPr>
        <w:t xml:space="preserve">الوجه الثالث عشر: </w:t>
      </w:r>
      <w:r w:rsidRPr="00A02B5C">
        <w:rPr>
          <w:rFonts w:asciiTheme="majorBidi" w:hAnsiTheme="majorBidi" w:cstheme="majorBidi"/>
          <w:b/>
          <w:bCs/>
          <w:sz w:val="20"/>
          <w:szCs w:val="20"/>
          <w:rtl/>
          <w:lang w:bidi="ar-EG"/>
        </w:rPr>
        <w:t xml:space="preserve">إذا كان النبي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xml:space="preserve"> قد أخذ دينه من اليهود والنصارى، وإذا كان القرآن نسخة عربيةً من الكتب السماوية السابقة المنزلة على الأنبياء السابقين، ومقتبسًا منها، وإذا كان القرآن كتابًا توراتيًّا إنجيليًّا في موضوعه، ومصادره، وقصصه، وجدله كما يقول الحداد، فلماذا إذن هذه الحرب الشعواء على القرآن؟ ولماذا هذا الطعن في كتاب مأخوذ من </w:t>
      </w:r>
      <w:r w:rsidRPr="00A02B5C">
        <w:rPr>
          <w:rFonts w:asciiTheme="majorBidi" w:hAnsiTheme="majorBidi" w:cstheme="majorBidi"/>
          <w:b/>
          <w:bCs/>
          <w:sz w:val="20"/>
          <w:szCs w:val="20"/>
          <w:rtl/>
          <w:lang w:bidi="ar-EG"/>
        </w:rPr>
        <w:lastRenderedPageBreak/>
        <w:t>الإنجيل، والتوراة؟ أليس حقيقة هذا الطعن أنه طعن في الأصل المأخوذ منه أي: طعن في التوراة والإنجيل؟</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أم أن هؤلاء الطاعنين علموا في قرارة أنفسهم أنه كتاب عظيم منزل من الله تعالى، وأنه ناسخ للشرائع السابقة، فهالهم هذا الأمر، وحاولوا تنفير الناس منه بأي طريق؛ فأخذوا يتكلمون بأي كلام لا لشيء إلا بغضًا لهذا الكتاب، فجرفهم الحماس حتى قالوا كلامًا طعنوا به في التوراة والإنجيل، وهم لا يشعرون.</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color w:val="000080"/>
          <w:sz w:val="20"/>
          <w:szCs w:val="20"/>
          <w:rtl/>
          <w:lang w:bidi="ar-EG"/>
        </w:rPr>
        <w:t>الوجه الرابع عشر:</w:t>
      </w:r>
      <w:r w:rsidRPr="00A02B5C">
        <w:rPr>
          <w:rFonts w:asciiTheme="majorBidi" w:hAnsiTheme="majorBidi" w:cstheme="majorBidi"/>
          <w:b/>
          <w:bCs/>
          <w:sz w:val="20"/>
          <w:szCs w:val="20"/>
          <w:rtl/>
          <w:lang w:bidi="ar-EG"/>
        </w:rPr>
        <w:t xml:space="preserve"> لقد شهد المنصفون من المستشرقين بضد هذه الدعوى القائلة بأن النبي قد نقل القرآن من غيره، أو اقتبسه من غيره.</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وعلى سبيل المثال يقول المستشرق الإنجليزي لايتنر: "بقدر ما أعرف من ديني اليهود والنصارى أقول بأن ما علمه محمد ليس اقتباسًا بل قد أوحى إليه ربه، ولا ريب في ذلك".</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ويقول هنري دكاستري: "ثبت إذن أن محمدًا لم يقرأ كتابًا مقدسًا، ولم يسترشد في دينه بمذهب متقدم عليه".</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color w:val="000080"/>
          <w:sz w:val="20"/>
          <w:szCs w:val="20"/>
          <w:rtl/>
          <w:lang w:bidi="ar-EG"/>
        </w:rPr>
        <w:t>الوجه الخامس عشر:</w:t>
      </w:r>
      <w:r w:rsidRPr="00A02B5C">
        <w:rPr>
          <w:rFonts w:asciiTheme="majorBidi" w:hAnsiTheme="majorBidi" w:cstheme="majorBidi"/>
          <w:b/>
          <w:bCs/>
          <w:sz w:val="20"/>
          <w:szCs w:val="20"/>
          <w:rtl/>
          <w:lang w:bidi="ar-EG"/>
        </w:rPr>
        <w:t xml:space="preserve"> احتجاج الطاعنين بقولهم: إن القسم المدني من القرآن هادئ لين وديع مسالم يقابل السوء بالحسن، ويناقش الخصوم بالحجة الهادئة، والبرهان الساكن، ويهجر مع أعدائه الترهيب، والقسوة، ويسلك سبيل الترغيب، والتطميع في المكافأة نرد عليه بشهادة طاعن مثله ألا، وهو الحداد حيث قال: "حين استقر محمد في المدينة انقلب انقلابًا شاملًا كاملًا انقلابًا في الدعوة، وانقلابًا في الداعية الذي أصبح رجل دولة وحرب، وانقلابًا في طريق الدعوة لقتال المشركين إلى أن يؤمنوا، وقتال الكتابيين حتى يخضعوا للجزية انقلابًا في الأسلوب حيث كان بالحكمة، والموعظة الحسنة فصار بالقتال والجهاد"، فمن نصدق منهما، والحق أن أسلوب القرآن واحد، ولكنه يشتد مع الكافرين، ويتلطف مع المؤمنين.</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color w:val="000080"/>
          <w:sz w:val="20"/>
          <w:szCs w:val="20"/>
          <w:rtl/>
          <w:lang w:bidi="ar-EG"/>
        </w:rPr>
        <w:t>الوجه السادس عشر:</w:t>
      </w:r>
      <w:r w:rsidRPr="00A02B5C">
        <w:rPr>
          <w:rFonts w:asciiTheme="majorBidi" w:hAnsiTheme="majorBidi" w:cstheme="majorBidi"/>
          <w:b/>
          <w:bCs/>
          <w:sz w:val="20"/>
          <w:szCs w:val="20"/>
          <w:rtl/>
          <w:lang w:bidi="ar-EG"/>
        </w:rPr>
        <w:t xml:space="preserve"> احتجاج الطاعنين بقولهم: إن النبي قد اقتبس القرآن من أهل الكتاب أمثال ورقة بن نوفل، وصهيب، وسلمان، وعبد الله بن سلام، فنرد عليهم بما يلي: </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إن القارئ لكلامهم يدرك أنه قد حوى من المغالطات الشيء الكثير.</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t xml:space="preserve">فتارة نجد كذبًا صريحًا في هذا الادعاء كقولهم: إن ورقة بن نوفل قد زوجه ابنة عمه مع أن كتب السيرة تذكر أن خديجة هي التي كانت راغبة في النبي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xml:space="preserve"> وأرسلت له تعرض في زواجها.</w:t>
      </w:r>
    </w:p>
    <w:p w:rsidR="00A02B5C" w:rsidRPr="00A02B5C" w:rsidRDefault="00A02B5C" w:rsidP="00A02B5C">
      <w:pPr>
        <w:pStyle w:val="NormalWeb"/>
        <w:bidi/>
        <w:spacing w:before="0" w:beforeAutospacing="0" w:after="120" w:afterAutospacing="0"/>
        <w:jc w:val="lowKashida"/>
        <w:rPr>
          <w:rFonts w:asciiTheme="majorBidi" w:hAnsiTheme="majorBidi" w:cstheme="majorBidi"/>
          <w:b/>
          <w:bCs/>
          <w:sz w:val="20"/>
          <w:szCs w:val="20"/>
          <w:rtl/>
        </w:rPr>
      </w:pPr>
      <w:r w:rsidRPr="00A02B5C">
        <w:rPr>
          <w:rFonts w:asciiTheme="majorBidi" w:hAnsiTheme="majorBidi" w:cstheme="majorBidi"/>
          <w:b/>
          <w:bCs/>
          <w:sz w:val="20"/>
          <w:szCs w:val="20"/>
          <w:rtl/>
          <w:lang w:bidi="ar-EG"/>
        </w:rPr>
        <w:lastRenderedPageBreak/>
        <w:t xml:space="preserve">وكتب السيرة كذلك ذكرت أن الذي خطبها للنبي </w:t>
      </w:r>
      <w:r w:rsidRPr="00A02B5C">
        <w:rPr>
          <w:rFonts w:asciiTheme="majorBidi" w:hAnsiTheme="majorBidi" w:cstheme="majorBidi"/>
          <w:b/>
          <w:bCs/>
          <w:position w:val="-4"/>
          <w:sz w:val="20"/>
          <w:szCs w:val="20"/>
          <w:lang w:bidi="ar-EG"/>
        </w:rPr>
        <w:t></w:t>
      </w:r>
      <w:r w:rsidRPr="00A02B5C">
        <w:rPr>
          <w:rFonts w:asciiTheme="majorBidi" w:hAnsiTheme="majorBidi" w:cstheme="majorBidi"/>
          <w:b/>
          <w:bCs/>
          <w:sz w:val="20"/>
          <w:szCs w:val="20"/>
          <w:rtl/>
          <w:lang w:bidi="ar-EG"/>
        </w:rPr>
        <w:t xml:space="preserve"> هو عمه أبو طالب، فكيف لورقة أن يزوج السيدة خديجة مع وجود أعمامها الذين هم أقرب منه، وأحق منه في ولاية أمرها.</w:t>
      </w:r>
    </w:p>
    <w:p w:rsidR="00A02B5C" w:rsidRPr="00A02B5C" w:rsidRDefault="00A02B5C" w:rsidP="00A02B5C">
      <w:pPr>
        <w:spacing w:after="120" w:line="240" w:lineRule="auto"/>
        <w:jc w:val="center"/>
        <w:rPr>
          <w:rFonts w:asciiTheme="majorBidi" w:hAnsiTheme="majorBidi" w:cstheme="majorBidi"/>
          <w:b/>
          <w:bCs/>
          <w:sz w:val="20"/>
          <w:szCs w:val="20"/>
          <w:rtl/>
        </w:rPr>
      </w:pPr>
      <w:r w:rsidRPr="00A02B5C">
        <w:rPr>
          <w:rFonts w:asciiTheme="majorBidi" w:hAnsiTheme="majorBidi" w:cstheme="majorBidi"/>
          <w:b/>
          <w:bCs/>
          <w:sz w:val="20"/>
          <w:szCs w:val="20"/>
          <w:rtl/>
        </w:rPr>
        <w:t>المصادر والمراجع</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tl/>
        </w:rPr>
      </w:pPr>
      <w:r w:rsidRPr="00A02B5C">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tl/>
        </w:rPr>
      </w:pPr>
      <w:r w:rsidRPr="00A02B5C">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Pr>
      </w:pPr>
      <w:r w:rsidRPr="00A02B5C">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Pr>
      </w:pPr>
      <w:r w:rsidRPr="00A02B5C">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tl/>
        </w:rPr>
      </w:pPr>
      <w:r w:rsidRPr="00A02B5C">
        <w:rPr>
          <w:rFonts w:asciiTheme="majorBidi" w:hAnsiTheme="majorBidi" w:cstheme="majorBidi"/>
          <w:b/>
          <w:bCs/>
          <w:sz w:val="20"/>
          <w:szCs w:val="20"/>
          <w:rtl/>
        </w:rPr>
        <w:t>أبي داود، ابن أبي داود، تحقيق: محب الدين واعظ، (المصاحف) ، دار البشائر الإسلامية، 2002م</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Pr>
      </w:pPr>
      <w:r w:rsidRPr="00A02B5C">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tl/>
        </w:rPr>
      </w:pPr>
      <w:r w:rsidRPr="00A02B5C">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tl/>
        </w:rPr>
      </w:pPr>
      <w:r w:rsidRPr="00A02B5C">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Pr>
      </w:pPr>
      <w:r w:rsidRPr="00A02B5C">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Pr>
      </w:pPr>
      <w:r w:rsidRPr="00A02B5C">
        <w:rPr>
          <w:rFonts w:asciiTheme="majorBidi" w:hAnsiTheme="majorBidi" w:cstheme="majorBidi"/>
          <w:b/>
          <w:bCs/>
          <w:sz w:val="20"/>
          <w:szCs w:val="20"/>
          <w:rtl/>
        </w:rPr>
        <w:t>أبو زهرة، محمد أبو زهرة، (المعجزة الكبرى القرآن)  ، دار طيب للنشر، 2003م</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Pr>
      </w:pPr>
      <w:r w:rsidRPr="00A02B5C">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A02B5C" w:rsidRPr="00A02B5C" w:rsidRDefault="00A02B5C" w:rsidP="00A02B5C">
      <w:pPr>
        <w:numPr>
          <w:ilvl w:val="0"/>
          <w:numId w:val="2"/>
        </w:numPr>
        <w:spacing w:after="120" w:line="240" w:lineRule="auto"/>
        <w:jc w:val="lowKashida"/>
        <w:rPr>
          <w:rFonts w:asciiTheme="majorBidi" w:hAnsiTheme="majorBidi" w:cstheme="majorBidi"/>
          <w:b/>
          <w:bCs/>
          <w:sz w:val="20"/>
          <w:szCs w:val="20"/>
        </w:rPr>
      </w:pPr>
      <w:r w:rsidRPr="00A02B5C">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A02B5C" w:rsidRPr="00A02B5C" w:rsidRDefault="00A02B5C" w:rsidP="00A02B5C">
      <w:pPr>
        <w:rPr>
          <w:rFonts w:asciiTheme="majorBidi" w:hAnsiTheme="majorBidi" w:cstheme="majorBidi"/>
          <w:i/>
          <w:iCs/>
          <w:rtl/>
        </w:rPr>
        <w:sectPr w:rsidR="00A02B5C" w:rsidRPr="00A02B5C" w:rsidSect="00A02B5C">
          <w:type w:val="continuous"/>
          <w:pgSz w:w="11906" w:h="16838"/>
          <w:pgMar w:top="964" w:right="1021" w:bottom="964" w:left="1021" w:header="709" w:footer="709" w:gutter="0"/>
          <w:cols w:num="2" w:space="708"/>
          <w:bidi/>
          <w:rtlGutter/>
          <w:docGrid w:linePitch="360"/>
        </w:sectPr>
      </w:pPr>
    </w:p>
    <w:p w:rsidR="00A02B5C" w:rsidRPr="00A02B5C" w:rsidRDefault="00A02B5C" w:rsidP="00A02B5C">
      <w:pPr>
        <w:rPr>
          <w:rFonts w:asciiTheme="majorBidi" w:hAnsiTheme="majorBidi" w:cstheme="majorBidi"/>
          <w:i/>
          <w:iCs/>
        </w:rPr>
      </w:pPr>
    </w:p>
    <w:p w:rsidR="00A02B5C" w:rsidRPr="00A02B5C" w:rsidRDefault="00A02B5C">
      <w:pPr>
        <w:jc w:val="center"/>
        <w:rPr>
          <w:i/>
          <w:iCs/>
        </w:rPr>
      </w:pPr>
    </w:p>
    <w:sectPr w:rsidR="00A02B5C" w:rsidRPr="00A02B5C" w:rsidSect="00A02B5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110">
    <w:panose1 w:val="02000400000000000000"/>
    <w:charset w:val="00"/>
    <w:family w:val="auto"/>
    <w:pitch w:val="variable"/>
    <w:sig w:usb0="80002003" w:usb1="90000000" w:usb2="00000008" w:usb3="00000000" w:csb0="80000041" w:csb1="00000000"/>
  </w:font>
  <w:font w:name="QCF_P111">
    <w:panose1 w:val="02000400000000000000"/>
    <w:charset w:val="00"/>
    <w:family w:val="auto"/>
    <w:pitch w:val="variable"/>
    <w:sig w:usb0="80002003" w:usb1="90000000" w:usb2="00000008" w:usb3="00000000" w:csb0="80000041" w:csb1="00000000"/>
  </w:font>
  <w:font w:name="QCF_P12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854A60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02B5C"/>
    <w:rsid w:val="00117E83"/>
    <w:rsid w:val="004C41F8"/>
    <w:rsid w:val="00514443"/>
    <w:rsid w:val="009556CB"/>
    <w:rsid w:val="00A02B5C"/>
    <w:rsid w:val="00BC32E7"/>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A02B5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A02B5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2B5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2013-06-22T14:58:00Z</dcterms:created>
  <dcterms:modified xsi:type="dcterms:W3CDTF">2013-06-26T22:17:00Z</dcterms:modified>
</cp:coreProperties>
</file>