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62" w:rsidRDefault="00CD7562" w:rsidP="00147F01">
      <w:pPr>
        <w:jc w:val="center"/>
        <w:rPr>
          <w:rFonts w:ascii="Times New Roman" w:hAnsi="Times New Roman" w:cs="Times New Roman"/>
          <w:b/>
          <w:bCs/>
          <w:sz w:val="48"/>
          <w:szCs w:val="48"/>
          <w:rtl/>
        </w:rPr>
      </w:pPr>
      <w:r w:rsidRPr="00147F01">
        <w:rPr>
          <w:rFonts w:ascii="Times New Roman" w:hAnsi="Times New Roman" w:cs="Times New Roman"/>
          <w:b/>
          <w:bCs/>
          <w:sz w:val="48"/>
          <w:szCs w:val="48"/>
          <w:rtl/>
        </w:rPr>
        <w:t>ما ورد شاذًّا في (الكتاب) واعتبره سيبويه خارجًا عن القياس, واعتبره غيره قياسًا</w:t>
      </w:r>
    </w:p>
    <w:p w:rsidR="00CD7562" w:rsidRPr="00CE05C2" w:rsidRDefault="00CD7562" w:rsidP="00147F01">
      <w:pPr>
        <w:spacing w:after="0" w:line="240" w:lineRule="auto"/>
        <w:jc w:val="center"/>
        <w:rPr>
          <w:rFonts w:ascii="Times New Roman" w:hAnsi="Times New Roman" w:cs="Times New Roman"/>
          <w:i/>
          <w:iCs/>
          <w:color w:val="4F81BD"/>
          <w:rtl/>
          <w:lang w:bidi="ar-EG"/>
        </w:rPr>
      </w:pPr>
      <w:r w:rsidRPr="00CE05C2">
        <w:rPr>
          <w:rFonts w:ascii="Times New Roman" w:hAnsi="Times New Roman" w:cs="Times New Roman"/>
          <w:i/>
          <w:iCs/>
          <w:rtl/>
        </w:rPr>
        <w:t xml:space="preserve">مبحث </w:t>
      </w:r>
      <w:proofErr w:type="spellStart"/>
      <w:r w:rsidRPr="00CE05C2">
        <w:rPr>
          <w:rFonts w:ascii="Times New Roman" w:hAnsi="Times New Roman" w:cs="Times New Roman"/>
          <w:i/>
          <w:iCs/>
          <w:rtl/>
        </w:rPr>
        <w:t>فى</w:t>
      </w:r>
      <w:proofErr w:type="spellEnd"/>
      <w:r w:rsidRPr="00CE05C2">
        <w:rPr>
          <w:rFonts w:ascii="Times New Roman" w:hAnsi="Times New Roman" w:cs="Times New Roman"/>
          <w:i/>
          <w:iCs/>
          <w:rtl/>
        </w:rPr>
        <w:t xml:space="preserve"> علم</w:t>
      </w:r>
      <w:r w:rsidRPr="00CE05C2">
        <w:rPr>
          <w:rFonts w:ascii="Times New Roman" w:hAnsi="Times New Roman" w:cs="Times New Roman"/>
          <w:i/>
          <w:iCs/>
          <w:rtl/>
          <w:lang w:bidi="ar-EG"/>
        </w:rPr>
        <w:t xml:space="preserve"> الصرف </w:t>
      </w:r>
    </w:p>
    <w:p w:rsidR="00CD7562" w:rsidRPr="00CE05C2" w:rsidRDefault="00CD7562" w:rsidP="00F7610E">
      <w:pPr>
        <w:spacing w:after="0" w:line="240" w:lineRule="auto"/>
        <w:jc w:val="center"/>
        <w:rPr>
          <w:rFonts w:ascii="Times New Roman" w:hAnsi="Times New Roman" w:cs="Times New Roman"/>
          <w:i/>
          <w:iCs/>
        </w:rPr>
      </w:pPr>
      <w:r w:rsidRPr="00CE05C2">
        <w:rPr>
          <w:rFonts w:ascii="Times New Roman" w:hAnsi="Times New Roman" w:cs="Times New Roman"/>
          <w:i/>
          <w:iCs/>
          <w:rtl/>
        </w:rPr>
        <w:t xml:space="preserve">إعداد / </w:t>
      </w:r>
      <w:r w:rsidR="00F7610E" w:rsidRPr="00F7610E">
        <w:rPr>
          <w:rFonts w:ascii="Times New Roman" w:hAnsi="Times New Roman" w:cs="Times New Roman"/>
          <w:i/>
          <w:iCs/>
          <w:rtl/>
        </w:rPr>
        <w:t>أيمن محمد أبو</w:t>
      </w:r>
      <w:r w:rsidR="00F7610E" w:rsidRPr="00F7610E">
        <w:rPr>
          <w:rFonts w:ascii="Times New Roman" w:hAnsi="Times New Roman" w:cs="Times New Roman" w:hint="cs"/>
          <w:i/>
          <w:iCs/>
          <w:rtl/>
        </w:rPr>
        <w:t xml:space="preserve"> </w:t>
      </w:r>
      <w:r w:rsidR="00F7610E" w:rsidRPr="00F7610E">
        <w:rPr>
          <w:rFonts w:ascii="Times New Roman" w:hAnsi="Times New Roman" w:cs="Times New Roman"/>
          <w:i/>
          <w:iCs/>
          <w:rtl/>
        </w:rPr>
        <w:t>بكر</w:t>
      </w:r>
    </w:p>
    <w:p w:rsidR="00CD7562" w:rsidRPr="00CE05C2" w:rsidRDefault="00CD7562" w:rsidP="00147F01">
      <w:pPr>
        <w:spacing w:after="0" w:line="240" w:lineRule="auto"/>
        <w:jc w:val="center"/>
        <w:rPr>
          <w:rFonts w:ascii="Times New Roman" w:hAnsi="Times New Roman" w:cs="Times New Roman"/>
          <w:i/>
          <w:iCs/>
        </w:rPr>
      </w:pPr>
      <w:r w:rsidRPr="00CE05C2">
        <w:rPr>
          <w:rFonts w:ascii="Times New Roman" w:hAnsi="Times New Roman" w:cs="Times New Roman"/>
          <w:i/>
          <w:iCs/>
          <w:rtl/>
        </w:rPr>
        <w:t>قسم الدعوة وأصول الدين</w:t>
      </w:r>
    </w:p>
    <w:p w:rsidR="00CD7562" w:rsidRPr="00CE05C2" w:rsidRDefault="00CD7562" w:rsidP="00147F01">
      <w:pPr>
        <w:spacing w:after="0" w:line="240" w:lineRule="auto"/>
        <w:jc w:val="center"/>
        <w:rPr>
          <w:rFonts w:ascii="Times New Roman" w:hAnsi="Times New Roman" w:cs="Times New Roman"/>
          <w:i/>
          <w:iCs/>
        </w:rPr>
      </w:pPr>
      <w:r w:rsidRPr="00CE05C2">
        <w:rPr>
          <w:rFonts w:ascii="Times New Roman" w:hAnsi="Times New Roman" w:cs="Times New Roman"/>
          <w:i/>
          <w:iCs/>
          <w:rtl/>
        </w:rPr>
        <w:t>كلية العلوم الإسلامية – جامعة المدينة العالمية</w:t>
      </w:r>
    </w:p>
    <w:p w:rsidR="00CD7562" w:rsidRPr="00CE05C2" w:rsidRDefault="00CD7562" w:rsidP="00147F01">
      <w:pPr>
        <w:spacing w:after="0" w:line="240" w:lineRule="auto"/>
        <w:jc w:val="center"/>
        <w:rPr>
          <w:rFonts w:ascii="Times New Roman" w:hAnsi="Times New Roman" w:cs="Times New Roman"/>
          <w:i/>
          <w:iCs/>
          <w:rtl/>
        </w:rPr>
      </w:pPr>
      <w:r w:rsidRPr="00CE05C2">
        <w:rPr>
          <w:rFonts w:ascii="Times New Roman" w:hAnsi="Times New Roman" w:cs="Times New Roman"/>
          <w:i/>
          <w:iCs/>
          <w:rtl/>
        </w:rPr>
        <w:t>شاه علم - ماليزيا</w:t>
      </w:r>
    </w:p>
    <w:p w:rsidR="00CD7562" w:rsidRPr="00CE05C2" w:rsidRDefault="00F7610E" w:rsidP="00F7610E">
      <w:pPr>
        <w:tabs>
          <w:tab w:val="left" w:pos="4050"/>
        </w:tabs>
        <w:spacing w:after="0"/>
        <w:jc w:val="center"/>
        <w:rPr>
          <w:rFonts w:ascii="Times New Roman" w:hAnsi="Times New Roman" w:cs="Times New Roman"/>
          <w:b/>
          <w:bCs/>
          <w:i/>
          <w:iCs/>
          <w:rtl/>
          <w:lang w:bidi="ar-EG"/>
        </w:rPr>
      </w:pPr>
      <w:r w:rsidRPr="00F7610E">
        <w:rPr>
          <w:rFonts w:ascii="Times New Roman" w:hAnsi="Times New Roman" w:cs="Times New Roman"/>
          <w:b/>
          <w:bCs/>
          <w:i/>
          <w:iCs/>
          <w:lang w:bidi="ar-EG"/>
        </w:rPr>
        <w:t>ayman.abobakr@mediu.ws</w:t>
      </w:r>
    </w:p>
    <w:p w:rsidR="00CD7562" w:rsidRPr="00426F7E" w:rsidRDefault="00CD7562" w:rsidP="00147F01">
      <w:pPr>
        <w:tabs>
          <w:tab w:val="left" w:pos="4050"/>
        </w:tabs>
        <w:spacing w:after="0"/>
        <w:jc w:val="center"/>
        <w:rPr>
          <w:rFonts w:ascii="Times New Roman" w:hAnsi="Times New Roman" w:cs="Times New Roman"/>
          <w:b/>
          <w:bCs/>
          <w:sz w:val="18"/>
          <w:szCs w:val="18"/>
          <w:lang w:bidi="ar-EG"/>
        </w:rPr>
      </w:pPr>
    </w:p>
    <w:p w:rsidR="00CD7562" w:rsidRDefault="00CD7562" w:rsidP="00013A4A">
      <w:pPr>
        <w:spacing w:after="0" w:line="240" w:lineRule="auto"/>
        <w:rPr>
          <w:rFonts w:ascii="Times New Roman" w:hAnsi="Times New Roman" w:cs="Times New Roman"/>
          <w:b/>
          <w:bCs/>
          <w:sz w:val="18"/>
          <w:szCs w:val="18"/>
          <w:rtl/>
          <w:lang w:bidi="ar-EG"/>
        </w:rPr>
        <w:sectPr w:rsidR="00CD7562" w:rsidSect="00147F01">
          <w:pgSz w:w="11906" w:h="16838"/>
          <w:pgMar w:top="1440" w:right="991" w:bottom="1440" w:left="851" w:header="708" w:footer="708" w:gutter="0"/>
          <w:cols w:space="708"/>
          <w:bidi/>
          <w:rtlGutter/>
          <w:docGrid w:linePitch="360"/>
        </w:sectPr>
      </w:pPr>
    </w:p>
    <w:p w:rsidR="00CD7562" w:rsidRPr="00147F01" w:rsidRDefault="00CD7562" w:rsidP="00147F01">
      <w:pPr>
        <w:spacing w:after="0" w:line="240" w:lineRule="auto"/>
        <w:jc w:val="center"/>
        <w:rPr>
          <w:rFonts w:ascii="Times New Roman" w:hAnsi="Times New Roman" w:cs="Times New Roman"/>
          <w:b/>
          <w:bCs/>
          <w:sz w:val="18"/>
          <w:szCs w:val="18"/>
          <w:rtl/>
        </w:rPr>
      </w:pPr>
      <w:r w:rsidRPr="00147F01">
        <w:rPr>
          <w:rFonts w:ascii="Times New Roman" w:hAnsi="Times New Roman" w:cs="Times New Roman"/>
          <w:b/>
          <w:bCs/>
          <w:sz w:val="18"/>
          <w:szCs w:val="18"/>
          <w:rtl/>
        </w:rPr>
        <w:lastRenderedPageBreak/>
        <w:t xml:space="preserve">الخلاصة – هذا البحث يبحث </w:t>
      </w:r>
      <w:proofErr w:type="spellStart"/>
      <w:r w:rsidRPr="00147F01">
        <w:rPr>
          <w:rFonts w:ascii="Times New Roman" w:hAnsi="Times New Roman" w:cs="Times New Roman"/>
          <w:b/>
          <w:bCs/>
          <w:sz w:val="18"/>
          <w:szCs w:val="18"/>
          <w:rtl/>
        </w:rPr>
        <w:t>فى</w:t>
      </w:r>
      <w:proofErr w:type="spellEnd"/>
      <w:r w:rsidRPr="00147F01">
        <w:rPr>
          <w:rFonts w:ascii="Times New Roman" w:hAnsi="Times New Roman" w:cs="Times New Roman"/>
          <w:b/>
          <w:bCs/>
          <w:sz w:val="18"/>
          <w:szCs w:val="18"/>
          <w:rtl/>
        </w:rPr>
        <w:t xml:space="preserve"> ما ورد شاذًّا في (الكتاب) واعتبره سيبويه خارجًا عن القياس, واعتبره غيره قياسًا</w:t>
      </w:r>
    </w:p>
    <w:p w:rsidR="00CD7562" w:rsidRPr="00147F01" w:rsidRDefault="00CD7562" w:rsidP="00147F01">
      <w:pPr>
        <w:spacing w:before="60" w:after="0" w:line="240" w:lineRule="auto"/>
        <w:rPr>
          <w:rFonts w:ascii="Times New Roman" w:hAnsi="Times New Roman" w:cs="Times New Roman"/>
          <w:b/>
          <w:bCs/>
          <w:sz w:val="18"/>
          <w:szCs w:val="18"/>
          <w:rtl/>
        </w:rPr>
      </w:pPr>
      <w:r w:rsidRPr="00147F01">
        <w:rPr>
          <w:rFonts w:ascii="Times New Roman" w:hAnsi="Times New Roman" w:cs="Times New Roman"/>
          <w:b/>
          <w:bCs/>
          <w:sz w:val="18"/>
          <w:szCs w:val="18"/>
          <w:rtl/>
        </w:rPr>
        <w:t xml:space="preserve">الكلمات </w:t>
      </w:r>
      <w:proofErr w:type="spellStart"/>
      <w:r w:rsidRPr="00147F01">
        <w:rPr>
          <w:rFonts w:ascii="Times New Roman" w:hAnsi="Times New Roman" w:cs="Times New Roman"/>
          <w:b/>
          <w:bCs/>
          <w:sz w:val="18"/>
          <w:szCs w:val="18"/>
          <w:rtl/>
        </w:rPr>
        <w:t>المفتاحية</w:t>
      </w:r>
      <w:proofErr w:type="spellEnd"/>
      <w:r w:rsidRPr="00147F01">
        <w:rPr>
          <w:rFonts w:ascii="Times New Roman" w:hAnsi="Times New Roman" w:cs="Times New Roman"/>
          <w:b/>
          <w:bCs/>
          <w:sz w:val="18"/>
          <w:szCs w:val="18"/>
          <w:rtl/>
        </w:rPr>
        <w:t xml:space="preserve"> – خارجا، القياس، شاذا</w:t>
      </w:r>
    </w:p>
    <w:p w:rsidR="00CD7562" w:rsidRDefault="00CD7562" w:rsidP="00147F01">
      <w:pPr>
        <w:numPr>
          <w:ilvl w:val="0"/>
          <w:numId w:val="2"/>
        </w:numPr>
        <w:spacing w:before="60" w:after="0" w:line="240" w:lineRule="auto"/>
        <w:ind w:left="643" w:hanging="90"/>
        <w:jc w:val="center"/>
        <w:rPr>
          <w:rFonts w:ascii="Times New Roman" w:hAnsi="Times New Roman" w:cs="Times New Roman"/>
          <w:b/>
          <w:bCs/>
          <w:sz w:val="18"/>
          <w:szCs w:val="18"/>
        </w:rPr>
      </w:pPr>
      <w:r w:rsidRPr="00147F01">
        <w:rPr>
          <w:rFonts w:ascii="Times New Roman" w:hAnsi="Times New Roman" w:cs="Times New Roman"/>
          <w:b/>
          <w:bCs/>
          <w:sz w:val="18"/>
          <w:szCs w:val="18"/>
          <w:rtl/>
        </w:rPr>
        <w:t>.المقدمة</w:t>
      </w:r>
    </w:p>
    <w:p w:rsidR="00CD7562" w:rsidRPr="00147F01" w:rsidRDefault="00CD7562" w:rsidP="00147F01">
      <w:pPr>
        <w:numPr>
          <w:ilvl w:val="0"/>
          <w:numId w:val="2"/>
        </w:numPr>
        <w:spacing w:before="60" w:after="0" w:line="240" w:lineRule="auto"/>
        <w:ind w:left="643" w:hanging="90"/>
        <w:jc w:val="center"/>
        <w:rPr>
          <w:rFonts w:ascii="Times New Roman" w:hAnsi="Times New Roman" w:cs="Times New Roman"/>
          <w:b/>
          <w:bCs/>
          <w:sz w:val="18"/>
          <w:szCs w:val="18"/>
          <w:rtl/>
        </w:rPr>
      </w:pPr>
    </w:p>
    <w:p w:rsidR="00CD7562" w:rsidRDefault="00CD7562" w:rsidP="00013A4A">
      <w:pPr>
        <w:spacing w:after="0" w:line="240" w:lineRule="auto"/>
        <w:jc w:val="lowKashida"/>
        <w:rPr>
          <w:rFonts w:ascii="Times New Roman" w:hAnsi="Times New Roman" w:cs="Times New Roman"/>
          <w:b/>
          <w:bCs/>
          <w:sz w:val="18"/>
          <w:szCs w:val="18"/>
          <w:rtl/>
        </w:rPr>
      </w:pPr>
      <w:r w:rsidRPr="00147F01">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ما ورد شاذًّا في (الكتاب) واعتبره سيبويه خارجًا عن القياس, واعتبره غيره قياسًا</w:t>
      </w:r>
    </w:p>
    <w:p w:rsidR="00CD7562" w:rsidRPr="00147F01" w:rsidRDefault="00CD7562" w:rsidP="00013A4A">
      <w:pPr>
        <w:spacing w:after="0" w:line="240" w:lineRule="auto"/>
        <w:jc w:val="lowKashida"/>
        <w:rPr>
          <w:rFonts w:ascii="Times New Roman" w:hAnsi="Times New Roman" w:cs="Times New Roman"/>
          <w:b/>
          <w:bCs/>
          <w:sz w:val="18"/>
          <w:szCs w:val="18"/>
          <w:rtl/>
        </w:rPr>
      </w:pPr>
    </w:p>
    <w:p w:rsidR="00CD7562" w:rsidRDefault="00CD7562" w:rsidP="00147F01">
      <w:pPr>
        <w:numPr>
          <w:ilvl w:val="0"/>
          <w:numId w:val="3"/>
        </w:numPr>
        <w:spacing w:after="0" w:line="240" w:lineRule="auto"/>
        <w:ind w:left="733" w:hanging="90"/>
        <w:jc w:val="center"/>
        <w:rPr>
          <w:rFonts w:ascii="Times New Roman" w:hAnsi="Times New Roman" w:cs="Times New Roman"/>
          <w:b/>
          <w:bCs/>
          <w:sz w:val="18"/>
          <w:szCs w:val="18"/>
        </w:rPr>
      </w:pPr>
      <w:r w:rsidRPr="00147F01">
        <w:rPr>
          <w:rFonts w:ascii="Times New Roman" w:hAnsi="Times New Roman" w:cs="Times New Roman"/>
          <w:b/>
          <w:bCs/>
          <w:sz w:val="18"/>
          <w:szCs w:val="18"/>
          <w:rtl/>
        </w:rPr>
        <w:t>.عنوان المقال</w:t>
      </w:r>
    </w:p>
    <w:p w:rsidR="00CD7562" w:rsidRPr="00147F01" w:rsidRDefault="00CD7562" w:rsidP="00147F01">
      <w:pPr>
        <w:numPr>
          <w:ilvl w:val="0"/>
          <w:numId w:val="3"/>
        </w:numPr>
        <w:spacing w:after="0" w:line="240" w:lineRule="auto"/>
        <w:ind w:left="733" w:hanging="90"/>
        <w:jc w:val="center"/>
        <w:rPr>
          <w:rFonts w:ascii="Times New Roman" w:hAnsi="Times New Roman" w:cs="Times New Roman"/>
          <w:b/>
          <w:bCs/>
          <w:sz w:val="18"/>
          <w:szCs w:val="18"/>
          <w:rtl/>
        </w:rPr>
      </w:pP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اتفقنا على أن النسب يُحدث في المنسوب إليه تغييرات من زيادة ياء النسب في آخره وكسر ما قبلها، وجعل الياءين منتهى الاسم وحرف الإعراب، فهذا أول تغيير تطرّقَ إلى اللفظ بسبب النسب؛ لذا قال سيبويه: "إذا لَحِقَتا الأسماء, فإنهم ممن يغيرونه عن حاله قبل أن تلحقا ياءَيِ الإضافة".</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وإنما تطرق التغيير إلى اللفظ لتغيير المعنى، فإننا إذا نسبنا إلى عَلَم صار نكرة، فعندنا مكة عَلَم على البلد الحرام فهي معرفة؛ علم على مكان معرفة، فلما أردنا أن ننسب إليها نكّرناها -أي</w:t>
      </w:r>
      <w:r w:rsidRPr="00147F01">
        <w:rPr>
          <w:rFonts w:cs="Traditional Arabic"/>
          <w:b/>
          <w:bCs/>
          <w:sz w:val="18"/>
          <w:szCs w:val="18"/>
          <w:rtl/>
        </w:rPr>
        <w:t xml:space="preserve">: </w:t>
      </w:r>
      <w:r w:rsidRPr="00CE05C2">
        <w:rPr>
          <w:rFonts w:cs="Times New Roman"/>
          <w:b/>
          <w:bCs/>
          <w:sz w:val="18"/>
          <w:szCs w:val="18"/>
          <w:rtl/>
        </w:rPr>
        <w:t>جعلناها نكرة</w:t>
      </w:r>
      <w:r w:rsidRPr="00147F01">
        <w:rPr>
          <w:rFonts w:cs="Traditional Arabic"/>
          <w:b/>
          <w:bCs/>
          <w:sz w:val="18"/>
          <w:szCs w:val="18"/>
          <w:rtl/>
        </w:rPr>
        <w:t>-</w:t>
      </w:r>
      <w:r w:rsidRPr="00CE05C2">
        <w:rPr>
          <w:rFonts w:cs="Times New Roman"/>
          <w:b/>
          <w:bCs/>
          <w:sz w:val="18"/>
          <w:szCs w:val="18"/>
          <w:rtl/>
        </w:rPr>
        <w:t xml:space="preserve"> بحيث تدخل عليها أداة التعريف، إذا أردنا أن نعرفه بعد أن سلبناه علميّته، وتصير صفة بمنزلة المشتق بعد الجمود، فتدل على ذات غير معينة موصوفة كصفة معينة، وهي النسب إلى المجرّد عنها؛ فيصير كسائر الصفات من اسم الفاعل واسم المفعول والصفة المشبهة، فإن كلًّا منها ذات غير معينة موصوفة بصفة معينة، فتحتاج إلى موصوف يخصّص تلك الذات.</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 xml:space="preserve">توضيح أكثر: إنما تطرق التغيير إلى اللفظ؛ لأننا غيّرنا المعنى، فإذا نسبنا إلى علم؛ صار نكرة بحيث تدخل عليه أداة التعريف، إذا أردنا أن نعرّفه، وصار صفة؛ أي: كالاسم المشتق بمنزلة المشتق بعد الجمود؛ لأنه كان جامدًا، فيدل على ذات غير معينة موصوفة بصفة معينة, وهي النسب إلى المجرد عنها، فيصير كسائر الصفات من اسم الفاعل واسم المفعول والصفة المشبهة، فإن كلًّا من هذه المشتقات ذات غير معينة موصوفة بصفة معينة، فتحتاج إلى موصوف يخصص تلك الذات؛ إما هو وإما متعلق هو, أي: الضمير ضمير ذلك الموصوف، أو </w:t>
      </w:r>
      <w:proofErr w:type="spellStart"/>
      <w:r w:rsidRPr="00CE05C2">
        <w:rPr>
          <w:rFonts w:cs="Times New Roman"/>
          <w:b/>
          <w:bCs/>
          <w:sz w:val="18"/>
          <w:szCs w:val="18"/>
          <w:rtl/>
        </w:rPr>
        <w:t>متعلّقه</w:t>
      </w:r>
      <w:proofErr w:type="spellEnd"/>
      <w:r w:rsidRPr="00CE05C2">
        <w:rPr>
          <w:rFonts w:cs="Times New Roman"/>
          <w:b/>
          <w:bCs/>
          <w:sz w:val="18"/>
          <w:szCs w:val="18"/>
          <w:rtl/>
        </w:rPr>
        <w:t xml:space="preserve"> </w:t>
      </w:r>
      <w:r w:rsidRPr="00147F01">
        <w:rPr>
          <w:rFonts w:cs="Traditional Arabic"/>
          <w:b/>
          <w:bCs/>
          <w:sz w:val="18"/>
          <w:szCs w:val="18"/>
          <w:rtl/>
        </w:rPr>
        <w:t>-</w:t>
      </w:r>
      <w:r w:rsidRPr="00CE05C2">
        <w:rPr>
          <w:rFonts w:cs="Times New Roman"/>
          <w:b/>
          <w:bCs/>
          <w:sz w:val="18"/>
          <w:szCs w:val="18"/>
          <w:rtl/>
        </w:rPr>
        <w:t xml:space="preserve">الذي هو من لواحقه أو من </w:t>
      </w:r>
      <w:proofErr w:type="spellStart"/>
      <w:r w:rsidRPr="00CE05C2">
        <w:rPr>
          <w:rFonts w:cs="Times New Roman"/>
          <w:b/>
          <w:bCs/>
          <w:sz w:val="18"/>
          <w:szCs w:val="18"/>
          <w:rtl/>
        </w:rPr>
        <w:t>ملابسيه</w:t>
      </w:r>
      <w:proofErr w:type="spellEnd"/>
      <w:r w:rsidRPr="00147F01">
        <w:rPr>
          <w:rFonts w:cs="Traditional Arabic"/>
          <w:b/>
          <w:bCs/>
          <w:sz w:val="18"/>
          <w:szCs w:val="18"/>
          <w:rtl/>
        </w:rPr>
        <w:t>-</w:t>
      </w:r>
      <w:r w:rsidRPr="00CE05C2">
        <w:rPr>
          <w:rFonts w:cs="Times New Roman"/>
          <w:b/>
          <w:bCs/>
          <w:sz w:val="18"/>
          <w:szCs w:val="18"/>
          <w:rtl/>
        </w:rPr>
        <w:t xml:space="preserve"> وهو إما متعلق؛ فيرفع فاعلًا بعده, إما مظهرًا وإما مضمرًا.</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 xml:space="preserve">وللتطبيق على ذلك نقول: مررت برجل قرشي أبوه، فقرشي: صفة لرجل، وصفة المجرور مجرور، أبوه: فاعل لقرشي؛ لأن "قرشي" صار اسمًا كالمشتق؛ فيرفع فاعلًا إذا قلنا: منتسب لقريش، أو نائب فاعل إذا قلنا: منسوب لقريش، هنا رفع الاسم المنسوب إليه؛ رفع فاعلًا أو نائب فاعل ظاهرًا, إذًا: قولنا: مررت برجل قرشي أبوه، أبوه فاعل أو نائب فاعل، وآخر: هاشمي, هاشمي رفع ضميرًا؛ هاشمي هو، فرفع في الأول </w:t>
      </w:r>
      <w:proofErr w:type="spellStart"/>
      <w:r w:rsidRPr="00CE05C2">
        <w:rPr>
          <w:rFonts w:cs="Times New Roman"/>
          <w:b/>
          <w:bCs/>
          <w:sz w:val="18"/>
          <w:szCs w:val="18"/>
          <w:rtl/>
        </w:rPr>
        <w:t>متعلقه</w:t>
      </w:r>
      <w:proofErr w:type="spellEnd"/>
      <w:r w:rsidRPr="00CE05C2">
        <w:rPr>
          <w:rFonts w:cs="Times New Roman"/>
          <w:b/>
          <w:bCs/>
          <w:sz w:val="18"/>
          <w:szCs w:val="18"/>
          <w:rtl/>
        </w:rPr>
        <w:t xml:space="preserve"> </w:t>
      </w:r>
      <w:r w:rsidRPr="00147F01">
        <w:rPr>
          <w:rFonts w:cs="Traditional Arabic"/>
          <w:b/>
          <w:bCs/>
          <w:sz w:val="18"/>
          <w:szCs w:val="18"/>
          <w:rtl/>
        </w:rPr>
        <w:t>-</w:t>
      </w:r>
      <w:r w:rsidRPr="00CE05C2">
        <w:rPr>
          <w:rFonts w:cs="Times New Roman"/>
          <w:b/>
          <w:bCs/>
          <w:sz w:val="18"/>
          <w:szCs w:val="18"/>
          <w:rtl/>
        </w:rPr>
        <w:t>وهو أبوه</w:t>
      </w:r>
      <w:r w:rsidRPr="00147F01">
        <w:rPr>
          <w:rFonts w:cs="Traditional Arabic"/>
          <w:b/>
          <w:bCs/>
          <w:sz w:val="18"/>
          <w:szCs w:val="18"/>
          <w:rtl/>
        </w:rPr>
        <w:t>-</w:t>
      </w:r>
      <w:r w:rsidRPr="00CE05C2">
        <w:rPr>
          <w:rFonts w:cs="Times New Roman"/>
          <w:b/>
          <w:bCs/>
          <w:sz w:val="18"/>
          <w:szCs w:val="18"/>
          <w:rtl/>
        </w:rPr>
        <w:t xml:space="preserve"> وفي الثاني ضمير الموصوف مثل سائر الصفات المذكورة.</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وهذا المثال جمع التغييرات الثلاثة: التنكير بكونه صار صفة للنكرة، والصفة لما سبقه، والرفع لما بعده.</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 xml:space="preserve">ولا يعمل الاسم المنسوب إليه في المفعول </w:t>
      </w:r>
      <w:proofErr w:type="spellStart"/>
      <w:r w:rsidRPr="00CE05C2">
        <w:rPr>
          <w:rFonts w:cs="Times New Roman"/>
          <w:b/>
          <w:bCs/>
          <w:sz w:val="18"/>
          <w:szCs w:val="18"/>
          <w:rtl/>
        </w:rPr>
        <w:t>به</w:t>
      </w:r>
      <w:proofErr w:type="spellEnd"/>
      <w:r w:rsidRPr="00CE05C2">
        <w:rPr>
          <w:rFonts w:cs="Times New Roman"/>
          <w:b/>
          <w:bCs/>
          <w:sz w:val="18"/>
          <w:szCs w:val="18"/>
          <w:rtl/>
        </w:rPr>
        <w:t>؛ إذ هو بمعنى اللازم, أي: منتسب أو منسوب، ولعدم مشابهته للفعل لفظًا، لكن هناك اسم الفاعل واسم المفعول والصفة المشبهة، شابهت الفعل في اللفظ؛ لأن الألفاظ الموجودة في الفعل موجودة فيهما مع تغيير في الصيغة، ولعدم مشابهته للفعل لفظًا, لا يعمل إلا في مخصص لتلك الذات.</w:t>
      </w:r>
    </w:p>
    <w:p w:rsidR="00CD7562" w:rsidRPr="00CE05C2" w:rsidRDefault="00CD7562" w:rsidP="00147F01">
      <w:pPr>
        <w:pStyle w:val="a3"/>
        <w:bidi/>
        <w:ind w:left="0" w:right="0"/>
        <w:jc w:val="lowKashida"/>
        <w:rPr>
          <w:rFonts w:cs="Times New Roman"/>
          <w:b/>
          <w:bCs/>
          <w:sz w:val="18"/>
          <w:szCs w:val="18"/>
          <w:rtl/>
        </w:rPr>
      </w:pPr>
      <w:r w:rsidRPr="00CE05C2">
        <w:rPr>
          <w:rFonts w:cs="Times New Roman"/>
          <w:b/>
          <w:bCs/>
          <w:sz w:val="18"/>
          <w:szCs w:val="18"/>
          <w:rtl/>
        </w:rPr>
        <w:t xml:space="preserve">قلنا: رجل قرشي، قرشي يعمل هذا العمل في مخصص لتلك الذات المبهمة, المدلول عليها بالظاهر والضمير، ولا يعمل في غير ذلك إلا في الظرف الذي تكفيه رائحة الفعل؛ إنه لا يعمل في المبتدأ ولا يعمل في المفعول المطلق ولا يعمل في الحال </w:t>
      </w:r>
      <w:r w:rsidRPr="00CE05C2">
        <w:rPr>
          <w:rFonts w:cs="Times New Roman"/>
          <w:b/>
          <w:bCs/>
          <w:sz w:val="18"/>
          <w:szCs w:val="18"/>
          <w:rtl/>
        </w:rPr>
        <w:lastRenderedPageBreak/>
        <w:t>وغيره، إنما يعمل في الظرف الذي فيه رائحة الفعل، وكذلك يعمل في الحال المشبهة للظرف, وشرط عمله في الحال أن تشبه هذه الحال الظرف.</w:t>
      </w:r>
    </w:p>
    <w:p w:rsidR="00CD7562" w:rsidRPr="00CE05C2" w:rsidRDefault="00CD7562" w:rsidP="00147F01">
      <w:pPr>
        <w:pStyle w:val="a3"/>
        <w:bidi/>
        <w:ind w:left="0" w:right="0"/>
        <w:jc w:val="lowKashida"/>
        <w:rPr>
          <w:rFonts w:cs="Times New Roman"/>
          <w:b/>
          <w:bCs/>
          <w:sz w:val="18"/>
          <w:szCs w:val="18"/>
        </w:rPr>
      </w:pPr>
      <w:r w:rsidRPr="00CE05C2">
        <w:rPr>
          <w:rFonts w:cs="Times New Roman"/>
          <w:b/>
          <w:bCs/>
          <w:sz w:val="18"/>
          <w:szCs w:val="18"/>
          <w:rtl/>
        </w:rPr>
        <w:t xml:space="preserve">نقول: أنا قرشي أبدًا، هذا عمله في الظرف، أو في الحال المشبهة للظرف كقول عمران بن </w:t>
      </w:r>
      <w:proofErr w:type="spellStart"/>
      <w:r w:rsidRPr="00CE05C2">
        <w:rPr>
          <w:rFonts w:cs="Times New Roman"/>
          <w:b/>
          <w:bCs/>
          <w:sz w:val="18"/>
          <w:szCs w:val="18"/>
          <w:rtl/>
        </w:rPr>
        <w:t>حطان</w:t>
      </w:r>
      <w:proofErr w:type="spellEnd"/>
      <w:r w:rsidRPr="00CE05C2">
        <w:rPr>
          <w:rFonts w:cs="Times New Roman"/>
          <w:b/>
          <w:bCs/>
          <w:sz w:val="18"/>
          <w:szCs w:val="18"/>
          <w:rtl/>
        </w:rPr>
        <w:t>:</w:t>
      </w:r>
    </w:p>
    <w:tbl>
      <w:tblPr>
        <w:bidiVisual/>
        <w:tblW w:w="0" w:type="auto"/>
        <w:jc w:val="center"/>
        <w:tblLook w:val="01E0"/>
      </w:tblPr>
      <w:tblGrid>
        <w:gridCol w:w="2149"/>
        <w:gridCol w:w="580"/>
        <w:gridCol w:w="2165"/>
      </w:tblGrid>
      <w:tr w:rsidR="00CD7562" w:rsidRPr="00BD7F53">
        <w:trPr>
          <w:trHeight w:hRule="exact" w:val="510"/>
          <w:jc w:val="center"/>
        </w:trPr>
        <w:tc>
          <w:tcPr>
            <w:tcW w:w="2909" w:type="dxa"/>
            <w:vAlign w:val="center"/>
          </w:tcPr>
          <w:p w:rsidR="00CD7562" w:rsidRPr="00013A4A" w:rsidRDefault="00CD7562" w:rsidP="00147F01">
            <w:pPr>
              <w:spacing w:after="0" w:line="240" w:lineRule="auto"/>
              <w:jc w:val="both"/>
              <w:rPr>
                <w:rFonts w:cs="AGA Furat Regular"/>
                <w:b/>
                <w:bCs/>
                <w:sz w:val="2"/>
                <w:szCs w:val="2"/>
              </w:rPr>
            </w:pPr>
            <w:r w:rsidRPr="00BD7F53">
              <w:rPr>
                <w:rFonts w:ascii="Arial" w:hAnsi="Arial" w:cs="AGA Furat Regular"/>
                <w:b/>
                <w:bCs/>
                <w:sz w:val="18"/>
                <w:szCs w:val="18"/>
                <w:rtl/>
                <w:lang w:eastAsia="en-MY"/>
              </w:rPr>
              <w:t>يومًا يَمَانٍ إِذَا لَاقَيْتُ ذَا يَمَنِ</w:t>
            </w:r>
            <w:r w:rsidRPr="00BD7F53">
              <w:rPr>
                <w:rFonts w:cs="AGA Furat Regular"/>
                <w:b/>
                <w:bCs/>
                <w:sz w:val="18"/>
                <w:szCs w:val="18"/>
                <w:rtl/>
              </w:rPr>
              <w:br/>
            </w:r>
          </w:p>
        </w:tc>
        <w:tc>
          <w:tcPr>
            <w:tcW w:w="709" w:type="dxa"/>
            <w:vAlign w:val="center"/>
          </w:tcPr>
          <w:p w:rsidR="00CD7562" w:rsidRPr="00CE05C2" w:rsidRDefault="00CD7562" w:rsidP="00147F01">
            <w:pPr>
              <w:spacing w:after="0" w:line="240" w:lineRule="auto"/>
              <w:jc w:val="center"/>
              <w:rPr>
                <w:rFonts w:cs="Times New Roman"/>
                <w:b/>
                <w:bCs/>
                <w:sz w:val="18"/>
                <w:szCs w:val="18"/>
              </w:rPr>
            </w:pPr>
            <w:r w:rsidRPr="00CE05C2">
              <w:rPr>
                <w:rFonts w:cs="Times New Roman"/>
                <w:b/>
                <w:bCs/>
                <w:sz w:val="18"/>
                <w:szCs w:val="18"/>
                <w:rtl/>
              </w:rPr>
              <w:t>*</w:t>
            </w:r>
          </w:p>
        </w:tc>
        <w:tc>
          <w:tcPr>
            <w:tcW w:w="2909" w:type="dxa"/>
            <w:vAlign w:val="center"/>
          </w:tcPr>
          <w:p w:rsidR="00CD7562" w:rsidRPr="00BD7F53" w:rsidRDefault="00CD7562" w:rsidP="00147F01">
            <w:pPr>
              <w:spacing w:after="0" w:line="240" w:lineRule="auto"/>
              <w:jc w:val="both"/>
              <w:rPr>
                <w:rFonts w:cs="AGA Furat Regular"/>
                <w:b/>
                <w:bCs/>
                <w:sz w:val="18"/>
                <w:szCs w:val="18"/>
              </w:rPr>
            </w:pPr>
            <w:r w:rsidRPr="00BD7F53">
              <w:rPr>
                <w:rFonts w:ascii="Arial" w:hAnsi="Arial" w:cs="AGA Furat Regular"/>
                <w:b/>
                <w:bCs/>
                <w:sz w:val="18"/>
                <w:szCs w:val="18"/>
                <w:rtl/>
                <w:lang w:eastAsia="en-MY"/>
              </w:rPr>
              <w:t>وَإِنْ لَقيْتُ مَعَدِّيًّا فَعَدْنَانِ</w:t>
            </w:r>
            <w:r w:rsidRPr="00BD7F53">
              <w:rPr>
                <w:rFonts w:ascii="Arial" w:hAnsi="Arial" w:cs="AGA Furat Regular"/>
                <w:b/>
                <w:bCs/>
                <w:sz w:val="18"/>
                <w:szCs w:val="18"/>
                <w:rtl/>
                <w:lang w:eastAsia="en-MY"/>
              </w:rPr>
              <w:br/>
            </w:r>
          </w:p>
        </w:tc>
      </w:tr>
    </w:tbl>
    <w:p w:rsidR="00CD7562" w:rsidRPr="00CE05C2" w:rsidRDefault="00CD7562" w:rsidP="00147F01">
      <w:pPr>
        <w:pStyle w:val="a3"/>
        <w:bidi/>
        <w:ind w:left="0" w:right="0"/>
        <w:jc w:val="lowKashida"/>
        <w:rPr>
          <w:rFonts w:cs="Times New Roman"/>
          <w:b/>
          <w:bCs/>
          <w:spacing w:val="-4"/>
          <w:sz w:val="18"/>
          <w:szCs w:val="18"/>
          <w:rtl/>
        </w:rPr>
      </w:pPr>
      <w:r w:rsidRPr="00CE05C2">
        <w:rPr>
          <w:rFonts w:cs="Times New Roman"/>
          <w:b/>
          <w:bCs/>
          <w:spacing w:val="-4"/>
          <w:sz w:val="18"/>
          <w:szCs w:val="18"/>
          <w:rtl/>
        </w:rPr>
        <w:t xml:space="preserve">أما سائر الصفات المذكورة؛ فلمشابهتها للفعل </w:t>
      </w:r>
      <w:r w:rsidRPr="00147F01">
        <w:rPr>
          <w:rFonts w:cs="Traditional Arabic"/>
          <w:b/>
          <w:bCs/>
          <w:spacing w:val="-4"/>
          <w:sz w:val="18"/>
          <w:szCs w:val="18"/>
          <w:rtl/>
        </w:rPr>
        <w:t>-</w:t>
      </w:r>
      <w:r w:rsidRPr="00CE05C2">
        <w:rPr>
          <w:rFonts w:cs="Times New Roman"/>
          <w:b/>
          <w:bCs/>
          <w:spacing w:val="-4"/>
          <w:sz w:val="18"/>
          <w:szCs w:val="18"/>
          <w:rtl/>
        </w:rPr>
        <w:t>اسم الفاعل، واسم المفعول، والصفة المشبهة</w:t>
      </w:r>
      <w:r w:rsidRPr="00147F01">
        <w:rPr>
          <w:rFonts w:cs="Traditional Arabic"/>
          <w:b/>
          <w:bCs/>
          <w:spacing w:val="-4"/>
          <w:sz w:val="18"/>
          <w:szCs w:val="18"/>
          <w:rtl/>
        </w:rPr>
        <w:t>-</w:t>
      </w:r>
      <w:r w:rsidRPr="00CE05C2">
        <w:rPr>
          <w:rFonts w:cs="Times New Roman"/>
          <w:b/>
          <w:bCs/>
          <w:spacing w:val="-4"/>
          <w:sz w:val="18"/>
          <w:szCs w:val="18"/>
          <w:rtl/>
        </w:rPr>
        <w:t xml:space="preserve"> تتعدّى في العمل إلى غير مخصِّصِ لتلك الذات, المدلول عليها من الحال والظرف وغيرهما، فالمنسوب إليه يجري على ما قبله جَرْي الصفة, ورفع الظاهر كرفع الصفة المشبهة لما بعدها؛ كقولهم: هذا حسنٌ وجهُهُ، أو الحسنُ الوجهِ.</w:t>
      </w:r>
    </w:p>
    <w:p w:rsidR="00CD7562" w:rsidRPr="00CE05C2" w:rsidRDefault="00CD7562" w:rsidP="00147F01">
      <w:pPr>
        <w:pStyle w:val="a3"/>
        <w:bidi/>
        <w:ind w:left="0" w:right="0"/>
        <w:jc w:val="lowKashida"/>
        <w:rPr>
          <w:rFonts w:cs="Times New Roman"/>
          <w:b/>
          <w:bCs/>
          <w:sz w:val="18"/>
          <w:szCs w:val="18"/>
          <w:rtl/>
        </w:rPr>
      </w:pPr>
      <w:r w:rsidRPr="00CE05C2">
        <w:rPr>
          <w:rFonts w:cs="Times New Roman"/>
          <w:b/>
          <w:bCs/>
          <w:sz w:val="18"/>
          <w:szCs w:val="18"/>
          <w:rtl/>
        </w:rPr>
        <w:t>الخلاصة:</w:t>
      </w:r>
    </w:p>
    <w:p w:rsidR="00CD7562" w:rsidRPr="00CE05C2" w:rsidRDefault="00CD7562" w:rsidP="00147F01">
      <w:pPr>
        <w:pStyle w:val="a3"/>
        <w:bidi/>
        <w:ind w:left="0" w:right="0"/>
        <w:jc w:val="lowKashida"/>
        <w:rPr>
          <w:rFonts w:cs="Times New Roman"/>
          <w:b/>
          <w:bCs/>
          <w:sz w:val="18"/>
          <w:szCs w:val="18"/>
          <w:rtl/>
        </w:rPr>
      </w:pPr>
      <w:r w:rsidRPr="00CE05C2">
        <w:rPr>
          <w:rFonts w:cs="Times New Roman"/>
          <w:b/>
          <w:bCs/>
          <w:sz w:val="18"/>
          <w:szCs w:val="18"/>
          <w:rtl/>
        </w:rPr>
        <w:t xml:space="preserve">أن تغيير النسب على ضربين: </w:t>
      </w:r>
    </w:p>
    <w:p w:rsidR="00CD7562" w:rsidRPr="00CE05C2" w:rsidRDefault="00CD7562" w:rsidP="00147F01">
      <w:pPr>
        <w:pStyle w:val="a3"/>
        <w:bidi/>
        <w:ind w:left="0" w:right="0"/>
        <w:jc w:val="lowKashida"/>
        <w:rPr>
          <w:rFonts w:cs="Times New Roman"/>
          <w:b/>
          <w:bCs/>
          <w:spacing w:val="-8"/>
          <w:sz w:val="18"/>
          <w:szCs w:val="18"/>
        </w:rPr>
      </w:pPr>
      <w:r w:rsidRPr="00CE05C2">
        <w:rPr>
          <w:rFonts w:cs="Times New Roman"/>
          <w:b/>
          <w:bCs/>
          <w:spacing w:val="-8"/>
          <w:sz w:val="18"/>
          <w:szCs w:val="18"/>
          <w:rtl/>
        </w:rPr>
        <w:t>أحدهما: قياسي مطرد؛ لكثرته عنهم، فيجري لذلك مجرى رفع الفاعل ونصب المفعول.</w:t>
      </w:r>
    </w:p>
    <w:p w:rsidR="00CD7562" w:rsidRDefault="00CD7562" w:rsidP="00147F01">
      <w:pPr>
        <w:pStyle w:val="a3"/>
        <w:bidi/>
        <w:ind w:left="0" w:right="0"/>
        <w:jc w:val="lowKashida"/>
        <w:rPr>
          <w:rFonts w:cs="Times New Roman"/>
          <w:b/>
          <w:bCs/>
          <w:sz w:val="18"/>
          <w:szCs w:val="18"/>
          <w:rtl/>
        </w:rPr>
      </w:pPr>
      <w:r w:rsidRPr="00CE05C2">
        <w:rPr>
          <w:rFonts w:cs="Times New Roman"/>
          <w:b/>
          <w:bCs/>
          <w:sz w:val="18"/>
          <w:szCs w:val="18"/>
          <w:rtl/>
        </w:rPr>
        <w:t>والثاني: ما لا يطرد فيه القياس؛ بل يُسمع ما قالوه ولا يُتجاوَز –أي: لا يقاس عليه</w:t>
      </w:r>
      <w:r w:rsidRPr="00147F01">
        <w:rPr>
          <w:rFonts w:cs="Traditional Arabic"/>
          <w:b/>
          <w:bCs/>
          <w:sz w:val="18"/>
          <w:szCs w:val="18"/>
          <w:rtl/>
        </w:rPr>
        <w:t>-</w:t>
      </w:r>
      <w:r w:rsidRPr="00CE05C2">
        <w:rPr>
          <w:rFonts w:cs="Times New Roman"/>
          <w:b/>
          <w:bCs/>
          <w:sz w:val="18"/>
          <w:szCs w:val="18"/>
          <w:rtl/>
        </w:rPr>
        <w:t xml:space="preserve"> هذا شرح ما قاله سيبويه</w:t>
      </w:r>
      <w:r>
        <w:rPr>
          <w:rFonts w:cs="Times New Roman"/>
          <w:b/>
          <w:bCs/>
          <w:sz w:val="18"/>
          <w:szCs w:val="18"/>
          <w:rtl/>
        </w:rPr>
        <w:t>.</w:t>
      </w:r>
    </w:p>
    <w:p w:rsidR="00CD7562" w:rsidRDefault="00CD7562" w:rsidP="00562080">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CD7562" w:rsidRDefault="00CD7562" w:rsidP="00562080">
      <w:pPr>
        <w:spacing w:after="0" w:line="240" w:lineRule="auto"/>
        <w:jc w:val="center"/>
        <w:rPr>
          <w:rFonts w:ascii="Times New Roman" w:hAnsi="Times New Roman" w:cs="Times New Roman"/>
          <w:b/>
          <w:bCs/>
          <w:sz w:val="18"/>
          <w:szCs w:val="18"/>
          <w:rtl/>
          <w:lang w:bidi="ar-EG"/>
        </w:rPr>
      </w:pP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CD7562" w:rsidRPr="006C09D7" w:rsidRDefault="00CD7562" w:rsidP="00562080">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CD7562" w:rsidRDefault="00CD7562" w:rsidP="00562080">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CD7562" w:rsidRPr="00562080" w:rsidRDefault="00CD7562" w:rsidP="00562080">
      <w:pPr>
        <w:numPr>
          <w:ilvl w:val="0"/>
          <w:numId w:val="1"/>
        </w:numPr>
        <w:spacing w:after="0" w:line="240" w:lineRule="auto"/>
        <w:jc w:val="lowKashida"/>
        <w:rPr>
          <w:rFonts w:ascii="Times New Roman" w:hAnsi="Times New Roman" w:cs="Times New Roman"/>
          <w:b/>
          <w:bCs/>
          <w:sz w:val="18"/>
          <w:szCs w:val="18"/>
          <w:rtl/>
        </w:rPr>
      </w:pPr>
      <w:r w:rsidRPr="00562080">
        <w:rPr>
          <w:rFonts w:ascii="Times New Roman" w:hAnsi="Times New Roman" w:cs="Times New Roman"/>
          <w:b/>
          <w:bCs/>
          <w:sz w:val="18"/>
          <w:szCs w:val="18"/>
          <w:rtl/>
        </w:rPr>
        <w:t>أبو العباس المبرِّد، (المقتضب) تحقيق: حسن حمد وإميل يعقوب، دار الكتب العلمية، 1999م.</w:t>
      </w:r>
    </w:p>
    <w:p w:rsidR="00CD7562" w:rsidRPr="00CE05C2" w:rsidRDefault="00CD7562" w:rsidP="00562080">
      <w:pPr>
        <w:pStyle w:val="a3"/>
        <w:bidi/>
        <w:ind w:left="0" w:right="0"/>
        <w:jc w:val="lowKashida"/>
        <w:rPr>
          <w:rFonts w:cs="Times New Roman"/>
          <w:b/>
          <w:bCs/>
          <w:sz w:val="18"/>
          <w:szCs w:val="18"/>
          <w:rtl/>
        </w:rPr>
      </w:pPr>
      <w:r w:rsidRPr="00CE05C2">
        <w:rPr>
          <w:rFonts w:cs="Times New Roman"/>
          <w:b/>
          <w:bCs/>
          <w:sz w:val="18"/>
          <w:szCs w:val="18"/>
          <w:rtl/>
        </w:rPr>
        <w:t>.</w:t>
      </w:r>
    </w:p>
    <w:p w:rsidR="00CD7562" w:rsidRPr="00147F01" w:rsidRDefault="00CD7562" w:rsidP="00562080">
      <w:pPr>
        <w:spacing w:after="0" w:line="240" w:lineRule="auto"/>
        <w:jc w:val="lowKashida"/>
        <w:rPr>
          <w:rFonts w:ascii="Times New Roman" w:hAnsi="Times New Roman" w:cs="Times New Roman"/>
          <w:b/>
          <w:bCs/>
          <w:sz w:val="18"/>
          <w:szCs w:val="18"/>
          <w:rtl/>
        </w:rPr>
      </w:pPr>
    </w:p>
    <w:p w:rsidR="00CD7562" w:rsidRPr="00CE05C2" w:rsidRDefault="00CD7562" w:rsidP="00147F01">
      <w:pPr>
        <w:spacing w:after="0" w:line="240" w:lineRule="auto"/>
        <w:jc w:val="center"/>
        <w:rPr>
          <w:rFonts w:cs="Times New Roman"/>
          <w:b/>
          <w:bCs/>
          <w:sz w:val="18"/>
          <w:szCs w:val="18"/>
          <w:rtl/>
        </w:rPr>
      </w:pPr>
    </w:p>
    <w:p w:rsidR="00CD7562" w:rsidRDefault="00CD7562" w:rsidP="00147F01">
      <w:pPr>
        <w:spacing w:after="0"/>
        <w:jc w:val="center"/>
        <w:rPr>
          <w:rFonts w:ascii="Times New Roman" w:hAnsi="Times New Roman" w:cs="Times New Roman"/>
          <w:b/>
          <w:bCs/>
          <w:sz w:val="48"/>
          <w:szCs w:val="48"/>
          <w:rtl/>
        </w:rPr>
        <w:sectPr w:rsidR="00CD7562" w:rsidSect="00147F01">
          <w:type w:val="continuous"/>
          <w:pgSz w:w="11906" w:h="16838"/>
          <w:pgMar w:top="568" w:right="991" w:bottom="851" w:left="851" w:header="708" w:footer="708" w:gutter="0"/>
          <w:cols w:num="2" w:space="708"/>
          <w:bidi/>
          <w:rtlGutter/>
          <w:docGrid w:linePitch="360"/>
        </w:sectPr>
      </w:pPr>
    </w:p>
    <w:p w:rsidR="00CD7562" w:rsidRPr="00147F01" w:rsidRDefault="00CD7562" w:rsidP="00147F01">
      <w:pPr>
        <w:spacing w:after="0"/>
        <w:jc w:val="center"/>
        <w:rPr>
          <w:rFonts w:ascii="Times New Roman" w:hAnsi="Times New Roman" w:cs="Times New Roman"/>
          <w:b/>
          <w:bCs/>
          <w:sz w:val="48"/>
          <w:szCs w:val="48"/>
        </w:rPr>
      </w:pPr>
    </w:p>
    <w:sectPr w:rsidR="00CD7562" w:rsidRPr="00147F01" w:rsidSect="00147F01">
      <w:type w:val="continuous"/>
      <w:pgSz w:w="11906" w:h="16838"/>
      <w:pgMar w:top="1440" w:right="991"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F01"/>
    <w:rsid w:val="00013A4A"/>
    <w:rsid w:val="001242CC"/>
    <w:rsid w:val="00147F01"/>
    <w:rsid w:val="00297D47"/>
    <w:rsid w:val="004168A0"/>
    <w:rsid w:val="004219C3"/>
    <w:rsid w:val="00426F7E"/>
    <w:rsid w:val="004D4444"/>
    <w:rsid w:val="00562080"/>
    <w:rsid w:val="00585A8F"/>
    <w:rsid w:val="006C09D7"/>
    <w:rsid w:val="00931049"/>
    <w:rsid w:val="00B1548A"/>
    <w:rsid w:val="00B279C6"/>
    <w:rsid w:val="00B36028"/>
    <w:rsid w:val="00BD7F53"/>
    <w:rsid w:val="00CD7562"/>
    <w:rsid w:val="00CE05C2"/>
    <w:rsid w:val="00D234B4"/>
    <w:rsid w:val="00DE0243"/>
    <w:rsid w:val="00E22F2F"/>
    <w:rsid w:val="00F75605"/>
    <w:rsid w:val="00F7610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7F01"/>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147F0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887</Words>
  <Characters>5057</Characters>
  <Application>Microsoft Office Word</Application>
  <DocSecurity>0</DocSecurity>
  <Lines>42</Lines>
  <Paragraphs>11</Paragraphs>
  <ScaleCrop>false</ScaleCrop>
  <Company>Fannan</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7</cp:revision>
  <dcterms:created xsi:type="dcterms:W3CDTF">2013-06-13T15:20:00Z</dcterms:created>
  <dcterms:modified xsi:type="dcterms:W3CDTF">2013-06-25T10:39:00Z</dcterms:modified>
</cp:coreProperties>
</file>