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77898" w:rsidP="00677898">
      <w:pPr>
        <w:spacing w:line="240" w:lineRule="auto"/>
        <w:jc w:val="center"/>
        <w:rPr>
          <w:i/>
          <w:iCs/>
          <w:rtl/>
        </w:rPr>
      </w:pPr>
      <w:r w:rsidRPr="00677898">
        <w:rPr>
          <w:rFonts w:asciiTheme="majorBidi" w:eastAsia="Calibri" w:hAnsiTheme="majorBidi" w:cstheme="majorBidi"/>
          <w:i/>
          <w:iCs/>
          <w:sz w:val="48"/>
          <w:szCs w:val="48"/>
          <w:rtl/>
        </w:rPr>
        <w:t>أثر سعيد بن جبير "في القرآن أربعة أحرف لحن..." والرد عليه</w:t>
      </w:r>
    </w:p>
    <w:p w:rsidR="00647427" w:rsidRPr="00634035" w:rsidRDefault="00647427" w:rsidP="00647427">
      <w:pPr>
        <w:pStyle w:val="papersubtitle"/>
        <w:bidi/>
        <w:rPr>
          <w:i/>
          <w:iCs/>
          <w:rtl/>
        </w:rPr>
      </w:pPr>
      <w:r w:rsidRPr="00634035">
        <w:rPr>
          <w:i/>
          <w:iCs/>
          <w:rtl/>
        </w:rPr>
        <w:t xml:space="preserve">بحث  فى </w:t>
      </w:r>
      <w:r w:rsidRPr="00634035">
        <w:rPr>
          <w:rFonts w:hint="cs"/>
          <w:i/>
          <w:iCs/>
          <w:rtl/>
        </w:rPr>
        <w:t>دفاع عن القراَن</w:t>
      </w:r>
    </w:p>
    <w:p w:rsidR="00647427" w:rsidRPr="009264EA" w:rsidRDefault="00647427" w:rsidP="00647427">
      <w:pPr>
        <w:pStyle w:val="papersubtitle"/>
        <w:bidi/>
        <w:rPr>
          <w:i/>
          <w:iCs/>
          <w:sz w:val="24"/>
          <w:szCs w:val="24"/>
        </w:rPr>
      </w:pPr>
      <w:r w:rsidRPr="009264EA">
        <w:rPr>
          <w:i/>
          <w:iCs/>
          <w:sz w:val="24"/>
          <w:szCs w:val="24"/>
          <w:rtl/>
        </w:rPr>
        <w:t>إعداد</w:t>
      </w:r>
      <w:r>
        <w:rPr>
          <w:rFonts w:hint="cs"/>
          <w:i/>
          <w:iCs/>
          <w:sz w:val="24"/>
          <w:szCs w:val="24"/>
          <w:rtl/>
        </w:rPr>
        <w:t xml:space="preserve"> أ</w:t>
      </w:r>
      <w:r w:rsidRPr="009264EA">
        <w:rPr>
          <w:i/>
          <w:iCs/>
          <w:sz w:val="24"/>
          <w:szCs w:val="24"/>
          <w:rtl/>
        </w:rPr>
        <w:t xml:space="preserve">/ </w:t>
      </w:r>
      <w:r w:rsidRPr="00BB5FA1">
        <w:rPr>
          <w:rFonts w:hint="cs"/>
          <w:i/>
          <w:iCs/>
          <w:sz w:val="24"/>
          <w:szCs w:val="24"/>
          <w:rtl/>
        </w:rPr>
        <w:t>أيمن</w:t>
      </w:r>
      <w:r w:rsidRPr="00BB5FA1">
        <w:rPr>
          <w:i/>
          <w:iCs/>
          <w:sz w:val="24"/>
          <w:szCs w:val="24"/>
          <w:rtl/>
        </w:rPr>
        <w:t xml:space="preserve"> </w:t>
      </w:r>
      <w:r w:rsidRPr="00BB5FA1">
        <w:rPr>
          <w:rFonts w:hint="cs"/>
          <w:i/>
          <w:iCs/>
          <w:sz w:val="24"/>
          <w:szCs w:val="24"/>
          <w:rtl/>
        </w:rPr>
        <w:t>محمد</w:t>
      </w:r>
      <w:r w:rsidRPr="00BB5FA1">
        <w:rPr>
          <w:i/>
          <w:iCs/>
          <w:sz w:val="24"/>
          <w:szCs w:val="24"/>
          <w:rtl/>
        </w:rPr>
        <w:t xml:space="preserve"> </w:t>
      </w:r>
      <w:r w:rsidRPr="00BB5FA1">
        <w:rPr>
          <w:rFonts w:hint="cs"/>
          <w:i/>
          <w:iCs/>
          <w:sz w:val="24"/>
          <w:szCs w:val="24"/>
          <w:rtl/>
        </w:rPr>
        <w:t>أبوبكر</w:t>
      </w:r>
    </w:p>
    <w:p w:rsidR="00647427" w:rsidRPr="009264EA" w:rsidRDefault="00647427" w:rsidP="0064742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47427" w:rsidRPr="009264EA" w:rsidRDefault="00647427" w:rsidP="0064742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47427" w:rsidRPr="009264EA" w:rsidRDefault="00647427" w:rsidP="00647427">
      <w:pPr>
        <w:pStyle w:val="papersubtitle"/>
        <w:bidi/>
        <w:rPr>
          <w:i/>
          <w:iCs/>
          <w:sz w:val="22"/>
          <w:szCs w:val="22"/>
          <w:rtl/>
        </w:rPr>
      </w:pPr>
      <w:r w:rsidRPr="009264EA">
        <w:rPr>
          <w:i/>
          <w:iCs/>
          <w:sz w:val="22"/>
          <w:szCs w:val="22"/>
          <w:rtl/>
        </w:rPr>
        <w:t>شاه علم – ماليزيا</w:t>
      </w:r>
    </w:p>
    <w:p w:rsidR="00647427" w:rsidRDefault="00647427" w:rsidP="00647427">
      <w:pPr>
        <w:spacing w:after="120"/>
        <w:jc w:val="center"/>
        <w:rPr>
          <w:rFonts w:asciiTheme="majorBidi" w:hAnsiTheme="majorBidi" w:cstheme="majorBidi"/>
          <w:b/>
          <w:bCs/>
          <w:sz w:val="20"/>
          <w:szCs w:val="20"/>
        </w:rPr>
      </w:pPr>
      <w:r w:rsidRPr="00BB5FA1">
        <w:rPr>
          <w:rFonts w:asciiTheme="majorBidi" w:hAnsiTheme="majorBidi" w:cs="AL-Hotham"/>
          <w:i/>
          <w:iCs/>
        </w:rPr>
        <w:t>ayman.abobakr@mediu.ws</w:t>
      </w:r>
    </w:p>
    <w:p w:rsidR="00677898" w:rsidRDefault="00677898" w:rsidP="00677898">
      <w:pPr>
        <w:spacing w:after="120"/>
        <w:rPr>
          <w:rFonts w:asciiTheme="majorBidi" w:hAnsiTheme="majorBidi" w:cstheme="majorBidi" w:hint="cs"/>
          <w:b/>
          <w:bCs/>
          <w:sz w:val="20"/>
          <w:szCs w:val="20"/>
          <w:rtl/>
        </w:rPr>
      </w:pPr>
    </w:p>
    <w:p w:rsidR="00647427" w:rsidRPr="00647427" w:rsidRDefault="00647427" w:rsidP="00677898">
      <w:pPr>
        <w:spacing w:after="120"/>
        <w:rPr>
          <w:rFonts w:asciiTheme="majorBidi" w:hAnsiTheme="majorBidi" w:cstheme="majorBidi"/>
          <w:b/>
          <w:bCs/>
          <w:sz w:val="20"/>
          <w:szCs w:val="20"/>
          <w:rtl/>
        </w:rPr>
        <w:sectPr w:rsidR="00647427" w:rsidRPr="00647427" w:rsidSect="00BF7572">
          <w:pgSz w:w="11906" w:h="16838"/>
          <w:pgMar w:top="964" w:right="1021" w:bottom="964" w:left="1021" w:header="709" w:footer="709" w:gutter="0"/>
          <w:cols w:space="708"/>
          <w:bidi/>
          <w:rtlGutter/>
          <w:docGrid w:linePitch="360"/>
        </w:sectPr>
      </w:pPr>
    </w:p>
    <w:p w:rsidR="00677898" w:rsidRPr="00677898" w:rsidRDefault="00677898" w:rsidP="00677898">
      <w:pPr>
        <w:spacing w:after="120"/>
        <w:rPr>
          <w:rFonts w:asciiTheme="majorBidi" w:hAnsiTheme="majorBidi" w:cstheme="majorBidi"/>
          <w:b/>
          <w:bCs/>
          <w:sz w:val="20"/>
          <w:szCs w:val="20"/>
          <w:rtl/>
        </w:rPr>
      </w:pPr>
      <w:r w:rsidRPr="00677898">
        <w:rPr>
          <w:rFonts w:asciiTheme="majorBidi" w:hAnsiTheme="majorBidi" w:cstheme="majorBidi"/>
          <w:b/>
          <w:bCs/>
          <w:sz w:val="20"/>
          <w:szCs w:val="20"/>
          <w:rtl/>
        </w:rPr>
        <w:lastRenderedPageBreak/>
        <w:t xml:space="preserve">خلاصة ـــ هذا البحث يبحث في </w:t>
      </w:r>
      <w:r w:rsidRPr="00677898">
        <w:rPr>
          <w:rFonts w:asciiTheme="majorBidi" w:eastAsia="Calibri" w:hAnsiTheme="majorBidi" w:cstheme="majorBidi"/>
          <w:b/>
          <w:bCs/>
          <w:sz w:val="20"/>
          <w:szCs w:val="20"/>
          <w:rtl/>
        </w:rPr>
        <w:t>أثر سعيد بن جبير "في القرآن أربعة أحرف لحن..." والرد عليه</w:t>
      </w:r>
    </w:p>
    <w:p w:rsidR="00677898" w:rsidRPr="00677898" w:rsidRDefault="00677898" w:rsidP="00677898">
      <w:pPr>
        <w:spacing w:after="120"/>
        <w:rPr>
          <w:rFonts w:asciiTheme="majorBidi" w:hAnsiTheme="majorBidi" w:cstheme="majorBidi"/>
          <w:b/>
          <w:bCs/>
          <w:sz w:val="20"/>
          <w:szCs w:val="20"/>
          <w:rtl/>
          <w:lang w:bidi="ar-EG"/>
        </w:rPr>
      </w:pPr>
      <w:r w:rsidRPr="00677898">
        <w:rPr>
          <w:rFonts w:asciiTheme="majorBidi" w:hAnsiTheme="majorBidi" w:cstheme="majorBidi"/>
          <w:b/>
          <w:bCs/>
          <w:sz w:val="20"/>
          <w:szCs w:val="20"/>
          <w:rtl/>
        </w:rPr>
        <w:t xml:space="preserve">الكلمات المفتاحية : الأثر ، القرآن ، المواضع </w:t>
      </w:r>
    </w:p>
    <w:p w:rsidR="00677898" w:rsidRPr="00677898" w:rsidRDefault="00677898" w:rsidP="00677898">
      <w:pPr>
        <w:pStyle w:val="ListParagraph"/>
        <w:numPr>
          <w:ilvl w:val="0"/>
          <w:numId w:val="1"/>
        </w:numPr>
        <w:spacing w:after="120" w:line="276" w:lineRule="auto"/>
        <w:jc w:val="center"/>
        <w:rPr>
          <w:rFonts w:asciiTheme="majorBidi" w:hAnsiTheme="majorBidi" w:cstheme="majorBidi"/>
          <w:b/>
          <w:bCs/>
          <w:sz w:val="20"/>
          <w:szCs w:val="20"/>
          <w:rtl/>
        </w:rPr>
      </w:pPr>
      <w:r w:rsidRPr="00677898">
        <w:rPr>
          <w:rFonts w:asciiTheme="majorBidi" w:hAnsiTheme="majorBidi" w:cstheme="majorBidi"/>
          <w:b/>
          <w:bCs/>
          <w:sz w:val="20"/>
          <w:szCs w:val="20"/>
          <w:rtl/>
        </w:rPr>
        <w:t>المقدمة</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77898">
        <w:rPr>
          <w:rFonts w:asciiTheme="majorBidi" w:eastAsia="Calibri" w:hAnsiTheme="majorBidi" w:cstheme="majorBidi"/>
          <w:b/>
          <w:bCs/>
          <w:sz w:val="20"/>
          <w:szCs w:val="20"/>
          <w:rtl/>
        </w:rPr>
        <w:t>أثر سعيد بن جبير "في القرآن أربعة أحرف لحن..." والرد عليه</w:t>
      </w:r>
    </w:p>
    <w:p w:rsidR="00677898" w:rsidRPr="00677898" w:rsidRDefault="00677898" w:rsidP="00677898">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677898">
        <w:rPr>
          <w:rFonts w:asciiTheme="majorBidi" w:hAnsiTheme="majorBidi" w:cstheme="majorBidi"/>
          <w:b/>
          <w:bCs/>
          <w:sz w:val="20"/>
          <w:szCs w:val="20"/>
          <w:rtl/>
        </w:rPr>
        <w:t>عنوان المقال</w:t>
      </w:r>
    </w:p>
    <w:p w:rsidR="00677898" w:rsidRPr="00677898" w:rsidRDefault="00677898" w:rsidP="00677898">
      <w:pPr>
        <w:pStyle w:val="NormalWeb"/>
        <w:bidi/>
        <w:spacing w:line="276" w:lineRule="auto"/>
        <w:jc w:val="both"/>
        <w:rPr>
          <w:rFonts w:ascii="Lotus Linotype" w:hAnsi="Lotus Linotype" w:cs="AL-Hotham"/>
          <w:b/>
          <w:bCs/>
          <w:color w:val="000080"/>
          <w:sz w:val="20"/>
          <w:szCs w:val="20"/>
          <w:rtl/>
        </w:rPr>
      </w:pPr>
      <w:r w:rsidRPr="00677898">
        <w:rPr>
          <w:rFonts w:asciiTheme="majorBidi" w:hAnsiTheme="majorBidi" w:cstheme="majorBidi"/>
          <w:b/>
          <w:bCs/>
          <w:color w:val="000080"/>
          <w:sz w:val="20"/>
          <w:szCs w:val="20"/>
          <w:rtl/>
        </w:rPr>
        <w:t>أثر سعيد بن جبير الذي قال فيه: "في القرآن أربعة أحرف لحن</w:t>
      </w:r>
      <w:r w:rsidRPr="00677898">
        <w:rPr>
          <w:rFonts w:ascii="Lotus Linotype" w:hAnsi="Lotus Linotype" w:cs="AL-Hotham"/>
          <w:b/>
          <w:bCs/>
          <w:color w:val="000080"/>
          <w:sz w:val="20"/>
          <w:szCs w:val="20"/>
          <w:rtl/>
        </w:rPr>
        <w:t xml:space="preserve">: </w:t>
      </w:r>
      <w:r w:rsidRPr="00677898">
        <w:rPr>
          <w:rFonts w:ascii="Lotus Linotype" w:hAnsi="Lotus Linotype" w:cs="DecoType Thuluth"/>
          <w:b/>
          <w:bCs/>
          <w:color w:val="008000"/>
          <w:sz w:val="20"/>
          <w:szCs w:val="20"/>
          <w:rtl/>
        </w:rPr>
        <w:t>{</w:t>
      </w:r>
      <w:r w:rsidRPr="00677898">
        <w:rPr>
          <w:rFonts w:ascii="QCF_P119" w:hAnsi="QCF_P119" w:cs="QCF_P119"/>
          <w:b/>
          <w:bCs/>
          <w:color w:val="008000"/>
          <w:sz w:val="20"/>
          <w:szCs w:val="20"/>
          <w:rtl/>
        </w:rPr>
        <w:t>ﯝ</w:t>
      </w:r>
      <w:r w:rsidRPr="00677898">
        <w:rPr>
          <w:rFonts w:ascii="QCF_P119" w:hAnsi="QCF_P119" w:cs="DecoType Thuluth"/>
          <w:b/>
          <w:bCs/>
          <w:color w:val="008000"/>
          <w:sz w:val="20"/>
          <w:szCs w:val="20"/>
          <w:rtl/>
        </w:rPr>
        <w:t>}</w:t>
      </w:r>
      <w:r w:rsidRPr="00677898">
        <w:rPr>
          <w:rFonts w:ascii="Lotus Linotype" w:hAnsi="Lotus Linotype" w:cs="AL-Hotham"/>
          <w:b/>
          <w:bCs/>
          <w:color w:val="008000"/>
          <w:sz w:val="20"/>
          <w:szCs w:val="20"/>
          <w:rtl/>
        </w:rPr>
        <w:t xml:space="preserve">، </w:t>
      </w:r>
      <w:r w:rsidRPr="00677898">
        <w:rPr>
          <w:rFonts w:ascii="Lotus Linotype" w:hAnsi="Lotus Linotype" w:cs="DecoType Thuluth"/>
          <w:b/>
          <w:bCs/>
          <w:color w:val="008000"/>
          <w:sz w:val="20"/>
          <w:szCs w:val="20"/>
          <w:rtl/>
        </w:rPr>
        <w:t>{</w:t>
      </w:r>
      <w:r w:rsidRPr="00677898">
        <w:rPr>
          <w:rFonts w:ascii="QCF_P103" w:hAnsi="QCF_P103" w:cs="QCF_P103"/>
          <w:b/>
          <w:bCs/>
          <w:color w:val="008000"/>
          <w:sz w:val="20"/>
          <w:szCs w:val="20"/>
          <w:rtl/>
        </w:rPr>
        <w:t>ﯿ</w:t>
      </w:r>
      <w:r w:rsidRPr="00677898">
        <w:rPr>
          <w:rFonts w:ascii="QCF_P103" w:hAnsi="QCF_P103" w:cs="DecoType Thuluth"/>
          <w:b/>
          <w:bCs/>
          <w:color w:val="008000"/>
          <w:sz w:val="20"/>
          <w:szCs w:val="20"/>
          <w:rtl/>
        </w:rPr>
        <w:t>}</w:t>
      </w:r>
      <w:r w:rsidRPr="00677898">
        <w:rPr>
          <w:rFonts w:ascii="Lotus Linotype" w:hAnsi="Lotus Linotype" w:cs="AL-Hotham"/>
          <w:b/>
          <w:bCs/>
          <w:color w:val="008000"/>
          <w:sz w:val="20"/>
          <w:szCs w:val="20"/>
          <w:rtl/>
        </w:rPr>
        <w:t>،</w:t>
      </w:r>
      <w:r w:rsidRPr="00677898">
        <w:rPr>
          <w:rFonts w:ascii="Lotus Linotype" w:hAnsi="Lotus Linotype" w:cs="DecoType Thuluth"/>
          <w:b/>
          <w:bCs/>
          <w:color w:val="008000"/>
          <w:sz w:val="20"/>
          <w:szCs w:val="20"/>
          <w:rtl/>
        </w:rPr>
        <w:t>{</w:t>
      </w:r>
      <w:r w:rsidRPr="00677898">
        <w:rPr>
          <w:rFonts w:ascii="QCF_P555" w:hAnsi="QCF_P555" w:cs="QCF_P555"/>
          <w:b/>
          <w:bCs/>
          <w:color w:val="008000"/>
          <w:sz w:val="20"/>
          <w:szCs w:val="20"/>
          <w:rtl/>
        </w:rPr>
        <w:t>ﯢ ﯣ ﯤ ﯥ</w:t>
      </w:r>
      <w:r w:rsidRPr="00677898">
        <w:rPr>
          <w:rFonts w:ascii="QCF_P555" w:hAnsi="QCF_P555" w:cs="DecoType Thuluth"/>
          <w:b/>
          <w:bCs/>
          <w:color w:val="008000"/>
          <w:sz w:val="20"/>
          <w:szCs w:val="20"/>
          <w:rtl/>
        </w:rPr>
        <w:t>}</w:t>
      </w:r>
      <w:r w:rsidRPr="00677898">
        <w:rPr>
          <w:rFonts w:ascii="Lotus Linotype" w:hAnsi="Lotus Linotype" w:cs="AL-Hotham"/>
          <w:b/>
          <w:bCs/>
          <w:color w:val="008000"/>
          <w:sz w:val="20"/>
          <w:szCs w:val="20"/>
          <w:rtl/>
        </w:rPr>
        <w:t xml:space="preserve">، </w:t>
      </w:r>
      <w:r w:rsidRPr="00677898">
        <w:rPr>
          <w:rFonts w:ascii="Lotus Linotype" w:hAnsi="Lotus Linotype" w:cs="DecoType Thuluth"/>
          <w:b/>
          <w:bCs/>
          <w:color w:val="008000"/>
          <w:sz w:val="20"/>
          <w:szCs w:val="20"/>
          <w:rtl/>
        </w:rPr>
        <w:t>{</w:t>
      </w:r>
      <w:r w:rsidRPr="00677898">
        <w:rPr>
          <w:rFonts w:ascii="QCF_P315" w:hAnsi="QCF_P315" w:cs="QCF_P315"/>
          <w:b/>
          <w:bCs/>
          <w:color w:val="008000"/>
          <w:sz w:val="20"/>
          <w:szCs w:val="20"/>
          <w:rtl/>
        </w:rPr>
        <w:t>ﯮ ﯯ ﯰ</w:t>
      </w:r>
      <w:r w:rsidRPr="00677898">
        <w:rPr>
          <w:rFonts w:ascii="QCF_P315" w:hAnsi="QCF_P315" w:cs="DecoType Thuluth"/>
          <w:b/>
          <w:bCs/>
          <w:color w:val="008000"/>
          <w:sz w:val="20"/>
          <w:szCs w:val="20"/>
          <w:rtl/>
        </w:rPr>
        <w:t>}</w:t>
      </w:r>
      <w:r w:rsidRPr="00677898">
        <w:rPr>
          <w:rFonts w:ascii="Lotus Linotype" w:hAnsi="Lotus Linotype" w:cs="AL-Hotham"/>
          <w:b/>
          <w:bCs/>
          <w:color w:val="000080"/>
          <w:sz w:val="20"/>
          <w:szCs w:val="20"/>
          <w:rtl/>
        </w:rPr>
        <w:t>":</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sz w:val="20"/>
          <w:szCs w:val="20"/>
          <w:rtl/>
        </w:rPr>
        <w:t>بعد أن عرضت الأثر لا بد وأن أبين تلك المواضع التي ذكرها سعيد بن جبير في قوله: "في القرآن أربعة أحرف لحن:</w:t>
      </w:r>
      <w:r w:rsidRPr="00677898">
        <w:rPr>
          <w:rFonts w:ascii="Lotus Linotype" w:hAnsi="Lotus Linotype" w:cs="AL-Hotham"/>
          <w:b/>
          <w:bCs/>
          <w:sz w:val="20"/>
          <w:szCs w:val="20"/>
          <w:rtl/>
        </w:rPr>
        <w:t xml:space="preserve"> </w:t>
      </w:r>
      <w:r w:rsidRPr="00677898">
        <w:rPr>
          <w:rFonts w:ascii="Lotus Linotype" w:hAnsi="Lotus Linotype" w:cs="DecoType Thuluth"/>
          <w:b/>
          <w:bCs/>
          <w:color w:val="008000"/>
          <w:sz w:val="20"/>
          <w:szCs w:val="20"/>
          <w:rtl/>
        </w:rPr>
        <w:t>{</w:t>
      </w:r>
      <w:r w:rsidRPr="00677898">
        <w:rPr>
          <w:rFonts w:ascii="QCF_P119" w:hAnsi="QCF_P119" w:cs="QCF_P119"/>
          <w:b/>
          <w:bCs/>
          <w:color w:val="008000"/>
          <w:sz w:val="20"/>
          <w:szCs w:val="20"/>
          <w:rtl/>
        </w:rPr>
        <w:t>ﯝ</w:t>
      </w:r>
      <w:r w:rsidRPr="00677898">
        <w:rPr>
          <w:rFonts w:ascii="QCF_P119" w:hAnsi="QCF_P119" w:cs="DecoType Thuluth"/>
          <w:b/>
          <w:bCs/>
          <w:color w:val="008000"/>
          <w:sz w:val="20"/>
          <w:szCs w:val="20"/>
          <w:rtl/>
        </w:rPr>
        <w:t>}</w:t>
      </w:r>
      <w:r w:rsidRPr="00677898">
        <w:rPr>
          <w:rFonts w:ascii="Lotus Linotype" w:hAnsi="Lotus Linotype" w:cs="AL-Hotham"/>
          <w:b/>
          <w:bCs/>
          <w:sz w:val="20"/>
          <w:szCs w:val="20"/>
          <w:rtl/>
        </w:rPr>
        <w:t>"؛</w:t>
      </w:r>
      <w:r w:rsidRPr="00677898">
        <w:rPr>
          <w:rFonts w:asciiTheme="majorBidi" w:hAnsiTheme="majorBidi" w:cstheme="majorBidi"/>
          <w:b/>
          <w:bCs/>
          <w:sz w:val="20"/>
          <w:szCs w:val="20"/>
          <w:rtl/>
        </w:rPr>
        <w:t xml:space="preserve"> يريد بذلك قول الله تعالى في سورة "المائدة":</w:t>
      </w:r>
      <w:r w:rsidRPr="00677898">
        <w:rPr>
          <w:rFonts w:ascii="Lotus Linotype" w:hAnsi="Lotus Linotype" w:cs="AL-Hotham"/>
          <w:b/>
          <w:bCs/>
          <w:sz w:val="20"/>
          <w:szCs w:val="20"/>
          <w:rtl/>
        </w:rPr>
        <w:t xml:space="preserve"> </w:t>
      </w:r>
      <w:r w:rsidRPr="00677898">
        <w:rPr>
          <w:rFonts w:ascii="Lotus Linotype" w:hAnsi="Lotus Linotype" w:cs="DecoType Thuluth"/>
          <w:b/>
          <w:bCs/>
          <w:color w:val="008000"/>
          <w:sz w:val="20"/>
          <w:szCs w:val="20"/>
          <w:rtl/>
        </w:rPr>
        <w:t>{</w:t>
      </w:r>
      <w:r w:rsidRPr="00677898">
        <w:rPr>
          <w:rFonts w:ascii="QCF_P119" w:hAnsi="QCF_P119" w:cs="QCF_P119"/>
          <w:b/>
          <w:bCs/>
          <w:color w:val="008000"/>
          <w:sz w:val="20"/>
          <w:szCs w:val="20"/>
          <w:rtl/>
        </w:rPr>
        <w:t>ﯘ ﯙ ﯚ ﯛ ﯜ ﯝ ﯞ ﯟ ﯠ ﯡ ﯢ ﯣ ﯤ ﯥ ﯦ ﯧ ﯨ ﯩ ﯪ ﯫ</w:t>
      </w:r>
      <w:r w:rsidRPr="00677898">
        <w:rPr>
          <w:rFonts w:ascii="QCF_P119" w:hAnsi="QCF_P119" w:cs="DecoType Thuluth"/>
          <w:b/>
          <w:bCs/>
          <w:color w:val="008000"/>
          <w:sz w:val="20"/>
          <w:szCs w:val="20"/>
          <w:rtl/>
        </w:rPr>
        <w:t>}</w:t>
      </w:r>
      <w:r w:rsidRPr="00677898">
        <w:rPr>
          <w:rFonts w:ascii="Lotus Linotype" w:hAnsi="Lotus Linotype" w:cs="AL-Hotham"/>
          <w:b/>
          <w:bCs/>
          <w:color w:val="008000"/>
          <w:sz w:val="20"/>
          <w:szCs w:val="20"/>
          <w:rtl/>
        </w:rPr>
        <w:t xml:space="preserve"> </w:t>
      </w:r>
      <w:r w:rsidRPr="00677898">
        <w:rPr>
          <w:rFonts w:asciiTheme="majorBidi" w:hAnsiTheme="majorBidi" w:cstheme="majorBidi"/>
          <w:b/>
          <w:bCs/>
          <w:sz w:val="20"/>
          <w:szCs w:val="20"/>
          <w:rtl/>
        </w:rPr>
        <w:t>[المائدة: 69].</w:t>
      </w:r>
    </w:p>
    <w:p w:rsidR="00677898" w:rsidRPr="00677898" w:rsidRDefault="00677898" w:rsidP="00677898">
      <w:pPr>
        <w:pStyle w:val="NormalWeb"/>
        <w:bidi/>
        <w:spacing w:before="0" w:beforeAutospacing="0" w:after="120" w:afterAutospacing="0" w:line="276" w:lineRule="auto"/>
        <w:jc w:val="both"/>
        <w:rPr>
          <w:rFonts w:asciiTheme="majorBidi" w:hAnsiTheme="majorBidi" w:cstheme="majorBidi"/>
          <w:b/>
          <w:bCs/>
          <w:sz w:val="20"/>
          <w:szCs w:val="20"/>
          <w:rtl/>
        </w:rPr>
      </w:pPr>
      <w:r w:rsidRPr="00677898">
        <w:rPr>
          <w:rFonts w:asciiTheme="majorBidi" w:hAnsiTheme="majorBidi" w:cstheme="majorBidi"/>
          <w:b/>
          <w:bCs/>
          <w:sz w:val="20"/>
          <w:szCs w:val="20"/>
          <w:rtl/>
        </w:rPr>
        <w:t>وفي قول سعيد في الأثر:</w:t>
      </w:r>
      <w:r w:rsidRPr="00677898">
        <w:rPr>
          <w:rFonts w:ascii="Lotus Linotype" w:hAnsi="Lotus Linotype" w:cs="AL-Hotham"/>
          <w:b/>
          <w:bCs/>
          <w:sz w:val="20"/>
          <w:szCs w:val="20"/>
          <w:rtl/>
        </w:rPr>
        <w:t xml:space="preserve"> </w:t>
      </w:r>
      <w:r w:rsidRPr="00677898">
        <w:rPr>
          <w:rFonts w:ascii="Lotus Linotype" w:hAnsi="Lotus Linotype" w:cs="DecoType Thuluth"/>
          <w:b/>
          <w:bCs/>
          <w:color w:val="008000"/>
          <w:sz w:val="20"/>
          <w:szCs w:val="20"/>
          <w:rtl/>
        </w:rPr>
        <w:t>{</w:t>
      </w:r>
      <w:r w:rsidRPr="00677898">
        <w:rPr>
          <w:rFonts w:ascii="QCF_P103" w:hAnsi="QCF_P103" w:cs="QCF_P103"/>
          <w:b/>
          <w:bCs/>
          <w:color w:val="008000"/>
          <w:sz w:val="20"/>
          <w:szCs w:val="20"/>
          <w:rtl/>
        </w:rPr>
        <w:t>ﯿ</w:t>
      </w:r>
      <w:r w:rsidRPr="00677898">
        <w:rPr>
          <w:rFonts w:ascii="QCF_P103" w:hAnsi="QCF_P103" w:cs="DecoType Thuluth"/>
          <w:b/>
          <w:bCs/>
          <w:color w:val="008000"/>
          <w:sz w:val="20"/>
          <w:szCs w:val="20"/>
          <w:rtl/>
        </w:rPr>
        <w:t>}</w:t>
      </w:r>
      <w:r w:rsidRPr="00677898">
        <w:rPr>
          <w:rFonts w:ascii="Lotus Linotype" w:hAnsi="Lotus Linotype" w:cs="AL-Hotham"/>
          <w:b/>
          <w:bCs/>
          <w:sz w:val="20"/>
          <w:szCs w:val="20"/>
          <w:rtl/>
        </w:rPr>
        <w:t xml:space="preserve">؛ </w:t>
      </w:r>
      <w:r w:rsidRPr="00677898">
        <w:rPr>
          <w:rFonts w:asciiTheme="majorBidi" w:hAnsiTheme="majorBidi" w:cstheme="majorBidi"/>
          <w:b/>
          <w:bCs/>
          <w:sz w:val="20"/>
          <w:szCs w:val="20"/>
          <w:rtl/>
        </w:rPr>
        <w:t>يريد بذلك قول الله تعالى في سورة "النساء":</w:t>
      </w:r>
      <w:r w:rsidRPr="00677898">
        <w:rPr>
          <w:rFonts w:ascii="Lotus Linotype" w:hAnsi="Lotus Linotype" w:cs="AL-Hotham"/>
          <w:b/>
          <w:bCs/>
          <w:sz w:val="20"/>
          <w:szCs w:val="20"/>
          <w:rtl/>
        </w:rPr>
        <w:t xml:space="preserve"> </w:t>
      </w:r>
      <w:r w:rsidRPr="00677898">
        <w:rPr>
          <w:rFonts w:ascii="Lotus Linotype" w:hAnsi="Lotus Linotype" w:cs="DecoType Thuluth"/>
          <w:b/>
          <w:bCs/>
          <w:color w:val="008000"/>
          <w:sz w:val="20"/>
          <w:szCs w:val="20"/>
          <w:rtl/>
        </w:rPr>
        <w:t>{</w:t>
      </w:r>
      <w:r w:rsidRPr="00677898">
        <w:rPr>
          <w:rFonts w:ascii="QCF_P103" w:hAnsi="QCF_P103" w:cs="QCF_P103"/>
          <w:b/>
          <w:bCs/>
          <w:color w:val="008000"/>
          <w:sz w:val="20"/>
          <w:szCs w:val="20"/>
          <w:rtl/>
        </w:rPr>
        <w:t>ﯰ ﯱ ﯲ ﯳ ﯴ ﯵ ﯶ ﯷ ﯸ ﯹ ﯺ ﯻ ﯼ ﯽ ﯾ ﯿ ﰀ ﰁ ﰂ ﰃ ﰄ ﰅ ﰆ ﰇ ﰈ ﰉ ﰊ ﰋ</w:t>
      </w:r>
      <w:r w:rsidRPr="00677898">
        <w:rPr>
          <w:rFonts w:ascii="QCF_P103" w:hAnsi="QCF_P103" w:cs="DecoType Thuluth"/>
          <w:b/>
          <w:bCs/>
          <w:color w:val="008000"/>
          <w:sz w:val="20"/>
          <w:szCs w:val="20"/>
          <w:rtl/>
        </w:rPr>
        <w:t>}</w:t>
      </w:r>
      <w:r w:rsidRPr="00677898">
        <w:rPr>
          <w:rFonts w:ascii="Lotus Linotype" w:hAnsi="Lotus Linotype" w:cs="AL-Hotham"/>
          <w:b/>
          <w:bCs/>
          <w:color w:val="008000"/>
          <w:sz w:val="20"/>
          <w:szCs w:val="20"/>
          <w:rtl/>
        </w:rPr>
        <w:t xml:space="preserve"> </w:t>
      </w:r>
      <w:r w:rsidRPr="00677898">
        <w:rPr>
          <w:rFonts w:asciiTheme="majorBidi" w:hAnsiTheme="majorBidi" w:cstheme="majorBidi"/>
          <w:b/>
          <w:bCs/>
          <w:sz w:val="20"/>
          <w:szCs w:val="20"/>
          <w:rtl/>
        </w:rPr>
        <w:t>[النساء: 162].</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677898">
        <w:rPr>
          <w:rFonts w:asciiTheme="majorBidi" w:hAnsiTheme="majorBidi" w:cstheme="majorBidi"/>
          <w:b/>
          <w:bCs/>
          <w:spacing w:val="-4"/>
          <w:sz w:val="20"/>
          <w:szCs w:val="20"/>
          <w:rtl/>
        </w:rPr>
        <w:t>وفي قول سعيد في الأثر</w:t>
      </w:r>
      <w:r w:rsidRPr="00677898">
        <w:rPr>
          <w:rFonts w:ascii="Lotus Linotype" w:hAnsi="Lotus Linotype" w:cs="AL-Hotham"/>
          <w:b/>
          <w:bCs/>
          <w:spacing w:val="-4"/>
          <w:sz w:val="20"/>
          <w:szCs w:val="20"/>
          <w:rtl/>
        </w:rPr>
        <w:t xml:space="preserve">: </w:t>
      </w:r>
      <w:r w:rsidRPr="00677898">
        <w:rPr>
          <w:rFonts w:ascii="Lotus Linotype" w:hAnsi="Lotus Linotype" w:cs="DecoType Thuluth"/>
          <w:b/>
          <w:bCs/>
          <w:color w:val="008000"/>
          <w:spacing w:val="-4"/>
          <w:sz w:val="20"/>
          <w:szCs w:val="20"/>
          <w:rtl/>
        </w:rPr>
        <w:t>{</w:t>
      </w:r>
      <w:r w:rsidRPr="00677898">
        <w:rPr>
          <w:rFonts w:ascii="QCF_P555" w:hAnsi="QCF_P555" w:cs="QCF_P555"/>
          <w:b/>
          <w:bCs/>
          <w:color w:val="008000"/>
          <w:spacing w:val="-4"/>
          <w:sz w:val="20"/>
          <w:szCs w:val="20"/>
          <w:rtl/>
        </w:rPr>
        <w:t>ﯢ ﯣ ﯤ ﯥ</w:t>
      </w:r>
      <w:r w:rsidRPr="00677898">
        <w:rPr>
          <w:rFonts w:ascii="QCF_P555" w:hAnsi="QCF_P555" w:cs="DecoType Thuluth"/>
          <w:b/>
          <w:bCs/>
          <w:color w:val="008000"/>
          <w:spacing w:val="-4"/>
          <w:sz w:val="20"/>
          <w:szCs w:val="20"/>
          <w:rtl/>
        </w:rPr>
        <w:t>}</w:t>
      </w:r>
      <w:r w:rsidRPr="00677898">
        <w:rPr>
          <w:rFonts w:ascii="Lotus Linotype" w:hAnsi="Lotus Linotype" w:cs="AL-Hotham"/>
          <w:b/>
          <w:bCs/>
          <w:spacing w:val="-4"/>
          <w:sz w:val="20"/>
          <w:szCs w:val="20"/>
          <w:rtl/>
        </w:rPr>
        <w:t>؛</w:t>
      </w:r>
      <w:r w:rsidRPr="00677898">
        <w:rPr>
          <w:rFonts w:asciiTheme="majorBidi" w:hAnsiTheme="majorBidi" w:cstheme="majorBidi"/>
          <w:b/>
          <w:bCs/>
          <w:spacing w:val="-4"/>
          <w:sz w:val="20"/>
          <w:szCs w:val="20"/>
          <w:rtl/>
        </w:rPr>
        <w:t xml:space="preserve"> يريد بذلك قول الله تعالى في سورة "المنافقون":</w:t>
      </w:r>
      <w:r w:rsidRPr="00677898">
        <w:rPr>
          <w:rFonts w:ascii="Lotus Linotype" w:hAnsi="Lotus Linotype" w:cs="AL-Hotham"/>
          <w:b/>
          <w:bCs/>
          <w:spacing w:val="-4"/>
          <w:sz w:val="20"/>
          <w:szCs w:val="20"/>
          <w:rtl/>
        </w:rPr>
        <w:t xml:space="preserve"> </w:t>
      </w:r>
      <w:r w:rsidRPr="00677898">
        <w:rPr>
          <w:rFonts w:ascii="Lotus Linotype" w:hAnsi="Lotus Linotype" w:cs="DecoType Thuluth"/>
          <w:b/>
          <w:bCs/>
          <w:color w:val="008000"/>
          <w:spacing w:val="-4"/>
          <w:sz w:val="20"/>
          <w:szCs w:val="20"/>
          <w:rtl/>
        </w:rPr>
        <w:t>{</w:t>
      </w:r>
      <w:r w:rsidRPr="00677898">
        <w:rPr>
          <w:rFonts w:ascii="QCF_P555" w:hAnsi="QCF_P555" w:cs="QCF_P555"/>
          <w:b/>
          <w:bCs/>
          <w:color w:val="008000"/>
          <w:spacing w:val="-4"/>
          <w:sz w:val="20"/>
          <w:szCs w:val="20"/>
          <w:rtl/>
        </w:rPr>
        <w:t>ﮰ ﮱ ﯓ ﯔ ﯕ ﯖ ﯗ ﯘ ﯙ ﯚ ﯛ ﯜ ﯝ ﯞ ﯟ ﯠ ﯡ ﯢ ﯣ ﯤ ﯥ</w:t>
      </w:r>
      <w:r w:rsidRPr="00677898">
        <w:rPr>
          <w:rFonts w:ascii="QCF_P555" w:hAnsi="QCF_P555" w:cs="DecoType Thuluth"/>
          <w:b/>
          <w:bCs/>
          <w:color w:val="008000"/>
          <w:spacing w:val="-4"/>
          <w:sz w:val="20"/>
          <w:szCs w:val="20"/>
          <w:rtl/>
        </w:rPr>
        <w:t>}</w:t>
      </w:r>
      <w:r w:rsidRPr="00677898">
        <w:rPr>
          <w:rFonts w:ascii="Lotus Linotype" w:hAnsi="Lotus Linotype" w:cs="AL-Hotham"/>
          <w:b/>
          <w:bCs/>
          <w:color w:val="008000"/>
          <w:spacing w:val="-4"/>
          <w:sz w:val="20"/>
          <w:szCs w:val="20"/>
          <w:rtl/>
        </w:rPr>
        <w:t xml:space="preserve"> </w:t>
      </w:r>
      <w:r w:rsidRPr="00677898">
        <w:rPr>
          <w:rFonts w:asciiTheme="majorBidi" w:hAnsiTheme="majorBidi" w:cstheme="majorBidi"/>
          <w:b/>
          <w:bCs/>
          <w:spacing w:val="-4"/>
          <w:sz w:val="20"/>
          <w:szCs w:val="20"/>
          <w:rtl/>
        </w:rPr>
        <w:t>[المنافقون: 10].</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sz w:val="20"/>
          <w:szCs w:val="20"/>
          <w:rtl/>
        </w:rPr>
        <w:t>وقول سعيد في الأثر</w:t>
      </w:r>
      <w:r w:rsidRPr="00677898">
        <w:rPr>
          <w:rFonts w:ascii="Lotus Linotype" w:hAnsi="Lotus Linotype" w:cs="AL-Hotham"/>
          <w:b/>
          <w:bCs/>
          <w:sz w:val="20"/>
          <w:szCs w:val="20"/>
          <w:rtl/>
        </w:rPr>
        <w:t xml:space="preserve">: </w:t>
      </w:r>
      <w:r w:rsidRPr="00677898">
        <w:rPr>
          <w:rFonts w:ascii="Lotus Linotype" w:hAnsi="Lotus Linotype" w:cs="DecoType Thuluth"/>
          <w:b/>
          <w:bCs/>
          <w:color w:val="008000"/>
          <w:sz w:val="20"/>
          <w:szCs w:val="20"/>
          <w:rtl/>
        </w:rPr>
        <w:t>{</w:t>
      </w:r>
      <w:r w:rsidRPr="00677898">
        <w:rPr>
          <w:rFonts w:ascii="QCF_P315" w:hAnsi="QCF_P315" w:cs="QCF_P315"/>
          <w:b/>
          <w:bCs/>
          <w:color w:val="008000"/>
          <w:sz w:val="20"/>
          <w:szCs w:val="20"/>
          <w:rtl/>
        </w:rPr>
        <w:t>ﯮ ﯯ ﯰ</w:t>
      </w:r>
      <w:r w:rsidRPr="00677898">
        <w:rPr>
          <w:rFonts w:ascii="QCF_P315" w:hAnsi="QCF_P315" w:cs="DecoType Thuluth"/>
          <w:b/>
          <w:bCs/>
          <w:color w:val="008000"/>
          <w:sz w:val="20"/>
          <w:szCs w:val="20"/>
          <w:rtl/>
        </w:rPr>
        <w:t>}</w:t>
      </w:r>
      <w:r w:rsidRPr="00677898">
        <w:rPr>
          <w:rFonts w:ascii="Lotus Linotype" w:hAnsi="Lotus Linotype" w:cs="AL-Hotham"/>
          <w:b/>
          <w:bCs/>
          <w:sz w:val="20"/>
          <w:szCs w:val="20"/>
          <w:rtl/>
        </w:rPr>
        <w:t xml:space="preserve">؛ </w:t>
      </w:r>
      <w:r w:rsidRPr="00677898">
        <w:rPr>
          <w:rFonts w:asciiTheme="majorBidi" w:hAnsiTheme="majorBidi" w:cstheme="majorBidi"/>
          <w:b/>
          <w:bCs/>
          <w:sz w:val="20"/>
          <w:szCs w:val="20"/>
          <w:rtl/>
        </w:rPr>
        <w:t xml:space="preserve">يريد قوله </w:t>
      </w:r>
      <w:r w:rsidRPr="00677898">
        <w:rPr>
          <w:rFonts w:asciiTheme="majorBidi" w:hAnsiTheme="majorBidi" w:cstheme="majorBidi"/>
          <w:b/>
          <w:bCs/>
          <w:position w:val="-4"/>
          <w:sz w:val="20"/>
          <w:szCs w:val="20"/>
        </w:rPr>
        <w:t></w:t>
      </w:r>
      <w:r w:rsidRPr="00677898">
        <w:rPr>
          <w:rFonts w:asciiTheme="majorBidi" w:hAnsiTheme="majorBidi" w:cstheme="majorBidi"/>
          <w:b/>
          <w:bCs/>
          <w:sz w:val="20"/>
          <w:szCs w:val="20"/>
          <w:rtl/>
        </w:rPr>
        <w:t xml:space="preserve"> في سورة "طه":</w:t>
      </w:r>
      <w:r w:rsidRPr="00677898">
        <w:rPr>
          <w:rFonts w:ascii="Lotus Linotype" w:hAnsi="Lotus Linotype" w:cs="AL-Hotham"/>
          <w:b/>
          <w:bCs/>
          <w:sz w:val="20"/>
          <w:szCs w:val="20"/>
          <w:rtl/>
        </w:rPr>
        <w:t xml:space="preserve"> </w:t>
      </w:r>
      <w:r w:rsidRPr="00677898">
        <w:rPr>
          <w:rFonts w:ascii="Lotus Linotype" w:hAnsi="Lotus Linotype" w:cs="DecoType Thuluth"/>
          <w:b/>
          <w:bCs/>
          <w:color w:val="008000"/>
          <w:sz w:val="20"/>
          <w:szCs w:val="20"/>
          <w:rtl/>
        </w:rPr>
        <w:t>{</w:t>
      </w:r>
      <w:r w:rsidRPr="00677898">
        <w:rPr>
          <w:rFonts w:ascii="QCF_P315" w:hAnsi="QCF_P315" w:cs="QCF_P315"/>
          <w:b/>
          <w:bCs/>
          <w:color w:val="008000"/>
          <w:sz w:val="20"/>
          <w:szCs w:val="20"/>
          <w:rtl/>
        </w:rPr>
        <w:t>ﯭ ﯮ ﯯ ﯰ ﯱ ﯲ ﯳ ﯴ ﯵ ﯶ ﯷ ﯸ ﯹ</w:t>
      </w:r>
      <w:r w:rsidRPr="00677898">
        <w:rPr>
          <w:rFonts w:ascii="QCF_P315" w:hAnsi="QCF_P315" w:cs="DecoType Thuluth"/>
          <w:b/>
          <w:bCs/>
          <w:color w:val="008000"/>
          <w:sz w:val="20"/>
          <w:szCs w:val="20"/>
          <w:rtl/>
        </w:rPr>
        <w:t>}</w:t>
      </w:r>
      <w:r w:rsidRPr="00677898">
        <w:rPr>
          <w:rFonts w:asciiTheme="majorBidi" w:hAnsiTheme="majorBidi" w:cstheme="majorBidi"/>
          <w:b/>
          <w:bCs/>
          <w:color w:val="008000"/>
          <w:sz w:val="20"/>
          <w:szCs w:val="20"/>
          <w:rtl/>
        </w:rPr>
        <w:t xml:space="preserve"> </w:t>
      </w:r>
      <w:r w:rsidRPr="00677898">
        <w:rPr>
          <w:rFonts w:asciiTheme="majorBidi" w:hAnsiTheme="majorBidi" w:cstheme="majorBidi"/>
          <w:b/>
          <w:bCs/>
          <w:sz w:val="20"/>
          <w:szCs w:val="20"/>
          <w:rtl/>
        </w:rPr>
        <w:t>[طه: 63].</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sz w:val="20"/>
          <w:szCs w:val="20"/>
          <w:rtl/>
        </w:rPr>
        <w:lastRenderedPageBreak/>
        <w:t>هذه هي المواضع التي يقصدها سعيد بن جبير في أثره، وبعد بيان هذه المواضع نشرع في الإجابة على هذا الأثر بما يلي:</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pacing w:val="-2"/>
          <w:sz w:val="20"/>
          <w:szCs w:val="20"/>
          <w:rtl/>
        </w:rPr>
      </w:pPr>
      <w:r w:rsidRPr="00677898">
        <w:rPr>
          <w:rFonts w:asciiTheme="majorBidi" w:hAnsiTheme="majorBidi" w:cstheme="majorBidi"/>
          <w:b/>
          <w:bCs/>
          <w:color w:val="000080"/>
          <w:sz w:val="20"/>
          <w:szCs w:val="20"/>
          <w:rtl/>
        </w:rPr>
        <w:t>الجواب الأول</w:t>
      </w:r>
      <w:r w:rsidRPr="00677898">
        <w:rPr>
          <w:rFonts w:asciiTheme="majorBidi" w:hAnsiTheme="majorBidi" w:cstheme="majorBidi"/>
          <w:b/>
          <w:bCs/>
          <w:color w:val="000080"/>
          <w:spacing w:val="-2"/>
          <w:sz w:val="20"/>
          <w:szCs w:val="20"/>
          <w:rtl/>
        </w:rPr>
        <w:t>:</w:t>
      </w:r>
      <w:r w:rsidRPr="00677898">
        <w:rPr>
          <w:rFonts w:asciiTheme="majorBidi" w:hAnsiTheme="majorBidi" w:cstheme="majorBidi"/>
          <w:b/>
          <w:bCs/>
          <w:spacing w:val="-2"/>
          <w:sz w:val="20"/>
          <w:szCs w:val="20"/>
          <w:rtl/>
        </w:rPr>
        <w:t xml:space="preserve"> قول سعيد بن جبير في القرآن: أربعة أحرف لحن؛ المراد باللحن في هذا الأثر اللغة التي كتبها أو القراءة؛ وأن فيها قراءة أخرى، وليس المراد باللحن الخطأ، ويدل على ذلك الوجه قول عمر في الحديث عن قراءة أبي عن ابن عباس قال: قال عمر: "عليٌّ أقضانا، وأبي أقرؤنا، وإنا لندع كثيرًا من لحن أبي".</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color w:val="000080"/>
          <w:sz w:val="20"/>
          <w:szCs w:val="20"/>
          <w:rtl/>
        </w:rPr>
        <w:t>الجواب الثاني:</w:t>
      </w:r>
      <w:r w:rsidRPr="00677898">
        <w:rPr>
          <w:rFonts w:asciiTheme="majorBidi" w:hAnsiTheme="majorBidi" w:cstheme="majorBidi"/>
          <w:b/>
          <w:bCs/>
          <w:sz w:val="20"/>
          <w:szCs w:val="20"/>
          <w:rtl/>
        </w:rPr>
        <w:t xml:space="preserve"> عن أثر سعيد بن جبير نقول فيه: كل الآيات التي جاءت في هذا الأثر لها توجيه لغوي سائغ، وليس فيها؛ أي خطأ من ناحية اللغة، وفيما يلي تفصيل ذلك:</w:t>
      </w:r>
    </w:p>
    <w:p w:rsidR="00677898" w:rsidRPr="00677898" w:rsidRDefault="00677898" w:rsidP="00677898">
      <w:pPr>
        <w:pStyle w:val="NormalWeb"/>
        <w:numPr>
          <w:ilvl w:val="0"/>
          <w:numId w:val="2"/>
        </w:numPr>
        <w:tabs>
          <w:tab w:val="clear" w:pos="720"/>
          <w:tab w:val="num" w:pos="360"/>
        </w:tabs>
        <w:bidi/>
        <w:spacing w:before="0" w:beforeAutospacing="0" w:after="120" w:afterAutospacing="0" w:line="276" w:lineRule="auto"/>
        <w:ind w:left="363" w:hanging="278"/>
        <w:jc w:val="lowKashida"/>
        <w:rPr>
          <w:rFonts w:ascii="Lotus Linotype" w:hAnsi="Lotus Linotype" w:cs="AL-Hotham"/>
          <w:b/>
          <w:bCs/>
          <w:sz w:val="20"/>
          <w:szCs w:val="20"/>
          <w:rtl/>
        </w:rPr>
      </w:pPr>
      <w:r w:rsidRPr="00677898">
        <w:rPr>
          <w:rFonts w:asciiTheme="majorBidi" w:hAnsiTheme="majorBidi" w:cstheme="majorBidi"/>
          <w:b/>
          <w:bCs/>
          <w:sz w:val="20"/>
          <w:szCs w:val="20"/>
          <w:rtl/>
        </w:rPr>
        <w:t>قوله تعالى:</w:t>
      </w:r>
      <w:r w:rsidRPr="00677898">
        <w:rPr>
          <w:rFonts w:ascii="Lotus Linotype" w:hAnsi="Lotus Linotype" w:cs="AL-Hotham"/>
          <w:b/>
          <w:bCs/>
          <w:sz w:val="20"/>
          <w:szCs w:val="20"/>
          <w:rtl/>
        </w:rPr>
        <w:t xml:space="preserve"> </w:t>
      </w:r>
      <w:r w:rsidRPr="00677898">
        <w:rPr>
          <w:rFonts w:ascii="Lotus Linotype" w:hAnsi="Lotus Linotype" w:cs="DecoType Thuluth"/>
          <w:b/>
          <w:bCs/>
          <w:color w:val="008000"/>
          <w:sz w:val="20"/>
          <w:szCs w:val="20"/>
          <w:rtl/>
        </w:rPr>
        <w:t>{</w:t>
      </w:r>
      <w:r w:rsidRPr="00677898">
        <w:rPr>
          <w:rFonts w:ascii="QCF_P119" w:hAnsi="QCF_P119" w:cs="QCF_P119"/>
          <w:b/>
          <w:bCs/>
          <w:color w:val="008000"/>
          <w:sz w:val="20"/>
          <w:szCs w:val="20"/>
          <w:rtl/>
        </w:rPr>
        <w:t>ﯝ</w:t>
      </w:r>
      <w:r w:rsidRPr="00677898">
        <w:rPr>
          <w:rFonts w:ascii="QCF_P119" w:hAnsi="QCF_P119" w:cs="DecoType Thuluth"/>
          <w:b/>
          <w:bCs/>
          <w:color w:val="008000"/>
          <w:sz w:val="20"/>
          <w:szCs w:val="20"/>
          <w:rtl/>
        </w:rPr>
        <w:t>}</w:t>
      </w:r>
      <w:r w:rsidRPr="00677898">
        <w:rPr>
          <w:rFonts w:asciiTheme="majorBidi" w:hAnsiTheme="majorBidi" w:cstheme="majorBidi"/>
          <w:b/>
          <w:bCs/>
          <w:sz w:val="20"/>
          <w:szCs w:val="20"/>
          <w:rtl/>
          <w:lang w:bidi="ar-EG"/>
        </w:rPr>
        <w:t xml:space="preserve"> رفع علي الابتداء وخبره محذوف، والنية فيه هي التأخير عما في حيز "إن" من اسمها وخبرها كأنه قيل: إن اللذين آمنوا واللذين هادوا والنصارى حكمهم كذا والصابئون كذلك، ومن قرأ "والصابئين" بالنصب لا إشكال فيها.</w:t>
      </w:r>
    </w:p>
    <w:p w:rsidR="00677898" w:rsidRPr="00677898" w:rsidRDefault="00677898" w:rsidP="00677898">
      <w:pPr>
        <w:pStyle w:val="NormalWeb"/>
        <w:numPr>
          <w:ilvl w:val="0"/>
          <w:numId w:val="2"/>
        </w:numPr>
        <w:tabs>
          <w:tab w:val="clear" w:pos="720"/>
          <w:tab w:val="num" w:pos="360"/>
        </w:tabs>
        <w:bidi/>
        <w:spacing w:before="0" w:beforeAutospacing="0" w:after="120" w:afterAutospacing="0" w:line="276" w:lineRule="auto"/>
        <w:ind w:left="363" w:hanging="278"/>
        <w:jc w:val="lowKashida"/>
        <w:rPr>
          <w:rFonts w:asciiTheme="majorBidi" w:hAnsiTheme="majorBidi" w:cstheme="majorBidi"/>
          <w:b/>
          <w:bCs/>
          <w:spacing w:val="-4"/>
          <w:sz w:val="20"/>
          <w:szCs w:val="20"/>
          <w:rtl/>
        </w:rPr>
      </w:pPr>
      <w:r w:rsidRPr="00677898">
        <w:rPr>
          <w:rFonts w:ascii="Lotus Linotype" w:hAnsi="Lotus Linotype" w:cs="AL-Hotham"/>
          <w:b/>
          <w:bCs/>
          <w:spacing w:val="-4"/>
          <w:sz w:val="20"/>
          <w:szCs w:val="20"/>
          <w:rtl/>
          <w:lang w:bidi="ar-EG"/>
        </w:rPr>
        <w:t xml:space="preserve">قوله تعالى: </w:t>
      </w:r>
      <w:r w:rsidRPr="00677898">
        <w:rPr>
          <w:rFonts w:ascii="Lotus Linotype" w:hAnsi="Lotus Linotype" w:cs="DecoType Thuluth"/>
          <w:b/>
          <w:bCs/>
          <w:color w:val="008000"/>
          <w:spacing w:val="-4"/>
          <w:sz w:val="20"/>
          <w:szCs w:val="20"/>
          <w:rtl/>
          <w:lang w:bidi="ar-EG"/>
        </w:rPr>
        <w:t>{</w:t>
      </w:r>
      <w:r w:rsidRPr="00677898">
        <w:rPr>
          <w:rFonts w:ascii="QCF_P103" w:hAnsi="QCF_P103" w:cs="QCF_P103"/>
          <w:b/>
          <w:bCs/>
          <w:color w:val="008000"/>
          <w:spacing w:val="-4"/>
          <w:sz w:val="20"/>
          <w:szCs w:val="20"/>
          <w:rtl/>
        </w:rPr>
        <w:t>ﯿ</w:t>
      </w:r>
      <w:r w:rsidRPr="00677898">
        <w:rPr>
          <w:rFonts w:ascii="QCF_P103" w:hAnsi="QCF_P103" w:cs="DecoType Thuluth"/>
          <w:b/>
          <w:bCs/>
          <w:color w:val="008000"/>
          <w:spacing w:val="-4"/>
          <w:sz w:val="20"/>
          <w:szCs w:val="20"/>
          <w:rtl/>
        </w:rPr>
        <w:t>}</w:t>
      </w:r>
      <w:r w:rsidRPr="00677898">
        <w:rPr>
          <w:rFonts w:asciiTheme="majorBidi" w:hAnsiTheme="majorBidi" w:cstheme="majorBidi"/>
          <w:b/>
          <w:bCs/>
          <w:spacing w:val="-4"/>
          <w:sz w:val="20"/>
          <w:szCs w:val="20"/>
          <w:rtl/>
          <w:lang w:bidi="ar-EG"/>
        </w:rPr>
        <w:t xml:space="preserve"> نصب على المدح وتقديره: وأمدح المقيمين، وهو قول سيبويه والمحققين، وإنما قطعت هذه الصفة عن بقية الصفات لبيان فضل الصلاة على غيرها من الأعمال، ومن قرأ "والمقيمون" بالرفع فلا إشكال فيها، وهي قراءة مالك بن دينار والجحدري وعيسى الثقفي وهي قراءة غير متواترة.</w:t>
      </w:r>
    </w:p>
    <w:p w:rsidR="00677898" w:rsidRPr="00677898" w:rsidRDefault="00677898" w:rsidP="00677898">
      <w:pPr>
        <w:pStyle w:val="NormalWeb"/>
        <w:numPr>
          <w:ilvl w:val="0"/>
          <w:numId w:val="2"/>
        </w:numPr>
        <w:tabs>
          <w:tab w:val="clear" w:pos="720"/>
          <w:tab w:val="num" w:pos="360"/>
        </w:tabs>
        <w:bidi/>
        <w:spacing w:before="0" w:beforeAutospacing="0" w:after="120" w:afterAutospacing="0" w:line="276" w:lineRule="auto"/>
        <w:ind w:left="363" w:hanging="278"/>
        <w:jc w:val="lowKashida"/>
        <w:rPr>
          <w:rFonts w:ascii="Lotus Linotype" w:hAnsi="Lotus Linotype" w:cs="AL-Hotham"/>
          <w:b/>
          <w:bCs/>
          <w:sz w:val="20"/>
          <w:szCs w:val="20"/>
          <w:rtl/>
        </w:rPr>
      </w:pPr>
      <w:r w:rsidRPr="00677898">
        <w:rPr>
          <w:rFonts w:asciiTheme="majorBidi" w:hAnsiTheme="majorBidi" w:cstheme="majorBidi"/>
          <w:b/>
          <w:bCs/>
          <w:sz w:val="20"/>
          <w:szCs w:val="20"/>
          <w:rtl/>
          <w:lang w:bidi="ar-EG"/>
        </w:rPr>
        <w:t>قوله تعالى:</w:t>
      </w:r>
      <w:r w:rsidRPr="00677898">
        <w:rPr>
          <w:rFonts w:ascii="Lotus Linotype" w:hAnsi="Lotus Linotype" w:cs="AL-Hotham"/>
          <w:b/>
          <w:bCs/>
          <w:sz w:val="20"/>
          <w:szCs w:val="20"/>
          <w:rtl/>
          <w:lang w:bidi="ar-EG"/>
        </w:rPr>
        <w:t xml:space="preserve"> </w:t>
      </w:r>
      <w:r w:rsidRPr="00677898">
        <w:rPr>
          <w:rFonts w:ascii="Lotus Linotype" w:hAnsi="Lotus Linotype" w:cs="DecoType Thuluth"/>
          <w:b/>
          <w:bCs/>
          <w:color w:val="008000"/>
          <w:sz w:val="20"/>
          <w:szCs w:val="20"/>
          <w:rtl/>
          <w:lang w:bidi="ar-EG"/>
        </w:rPr>
        <w:t>{</w:t>
      </w:r>
      <w:r w:rsidRPr="00677898">
        <w:rPr>
          <w:rFonts w:ascii="QCF_P555" w:hAnsi="QCF_P555" w:cs="QCF_P555"/>
          <w:b/>
          <w:bCs/>
          <w:color w:val="008000"/>
          <w:sz w:val="20"/>
          <w:szCs w:val="20"/>
          <w:rtl/>
        </w:rPr>
        <w:t>ﯢ ﯣ ﯤ ﯥ</w:t>
      </w:r>
      <w:r w:rsidRPr="00677898">
        <w:rPr>
          <w:rFonts w:ascii="QCF_P555" w:hAnsi="QCF_P555" w:cs="DecoType Thuluth"/>
          <w:b/>
          <w:bCs/>
          <w:color w:val="008000"/>
          <w:sz w:val="20"/>
          <w:szCs w:val="20"/>
          <w:rtl/>
        </w:rPr>
        <w:t>}</w:t>
      </w:r>
      <w:r w:rsidRPr="00677898">
        <w:rPr>
          <w:rFonts w:asciiTheme="majorBidi" w:hAnsiTheme="majorBidi" w:cstheme="majorBidi"/>
          <w:b/>
          <w:bCs/>
          <w:sz w:val="20"/>
          <w:szCs w:val="20"/>
          <w:rtl/>
        </w:rPr>
        <w:t xml:space="preserve"> يقرأ بجزم "أكن" حملًا على المعنى، والمعنى: إن أخرتني أكن، ومن قرأ: "وأكون" بالنصب فتكون معطوفة على ما قبلها وهو قوله تعالى:</w:t>
      </w:r>
      <w:r w:rsidRPr="00677898">
        <w:rPr>
          <w:rFonts w:ascii="Lotus Linotype" w:hAnsi="Lotus Linotype" w:cs="AL-Hotham"/>
          <w:b/>
          <w:bCs/>
          <w:sz w:val="20"/>
          <w:szCs w:val="20"/>
          <w:rtl/>
        </w:rPr>
        <w:t xml:space="preserve"> </w:t>
      </w:r>
      <w:r w:rsidRPr="00677898">
        <w:rPr>
          <w:rFonts w:ascii="Lotus Linotype" w:hAnsi="Lotus Linotype" w:cs="DecoType Thuluth"/>
          <w:b/>
          <w:bCs/>
          <w:color w:val="008000"/>
          <w:sz w:val="20"/>
          <w:szCs w:val="20"/>
          <w:rtl/>
        </w:rPr>
        <w:t>{</w:t>
      </w:r>
      <w:r w:rsidRPr="00677898">
        <w:rPr>
          <w:rFonts w:ascii="QCF_P555" w:hAnsi="QCF_P555" w:cs="QCF_P555"/>
          <w:b/>
          <w:bCs/>
          <w:color w:val="008000"/>
          <w:sz w:val="20"/>
          <w:szCs w:val="20"/>
          <w:rtl/>
        </w:rPr>
        <w:t>ﯢ</w:t>
      </w:r>
      <w:r w:rsidRPr="00677898">
        <w:rPr>
          <w:rFonts w:ascii="QCF_P555" w:hAnsi="QCF_P555" w:cs="DecoType Thuluth"/>
          <w:b/>
          <w:bCs/>
          <w:color w:val="008000"/>
          <w:sz w:val="20"/>
          <w:szCs w:val="20"/>
          <w:rtl/>
        </w:rPr>
        <w:t>}</w:t>
      </w:r>
      <w:r w:rsidRPr="00677898">
        <w:rPr>
          <w:rFonts w:ascii="Lotus Linotype" w:hAnsi="Lotus Linotype" w:cs="AL-Hotham"/>
          <w:b/>
          <w:bCs/>
          <w:sz w:val="20"/>
          <w:szCs w:val="20"/>
          <w:rtl/>
        </w:rPr>
        <w:t>.</w:t>
      </w:r>
    </w:p>
    <w:p w:rsidR="00677898" w:rsidRPr="00677898" w:rsidRDefault="00677898" w:rsidP="00677898">
      <w:pPr>
        <w:pStyle w:val="NormalWeb"/>
        <w:numPr>
          <w:ilvl w:val="0"/>
          <w:numId w:val="2"/>
        </w:numPr>
        <w:tabs>
          <w:tab w:val="clear" w:pos="720"/>
          <w:tab w:val="num" w:pos="360"/>
        </w:tabs>
        <w:bidi/>
        <w:spacing w:before="0" w:beforeAutospacing="0" w:after="120" w:afterAutospacing="0" w:line="276" w:lineRule="auto"/>
        <w:ind w:left="363" w:hanging="278"/>
        <w:jc w:val="lowKashida"/>
        <w:rPr>
          <w:rFonts w:asciiTheme="majorBidi" w:hAnsiTheme="majorBidi" w:cstheme="majorBidi"/>
          <w:b/>
          <w:bCs/>
          <w:sz w:val="20"/>
          <w:szCs w:val="20"/>
          <w:rtl/>
        </w:rPr>
      </w:pPr>
      <w:r w:rsidRPr="00677898">
        <w:rPr>
          <w:rFonts w:asciiTheme="majorBidi" w:hAnsiTheme="majorBidi" w:cstheme="majorBidi"/>
          <w:b/>
          <w:bCs/>
          <w:sz w:val="20"/>
          <w:szCs w:val="20"/>
          <w:rtl/>
          <w:lang w:bidi="ar-EG"/>
        </w:rPr>
        <w:t>أما قوله تعالى:</w:t>
      </w:r>
      <w:r w:rsidRPr="00677898">
        <w:rPr>
          <w:rFonts w:ascii="Lotus Linotype" w:hAnsi="Lotus Linotype" w:cs="AL-Hotham"/>
          <w:b/>
          <w:bCs/>
          <w:sz w:val="20"/>
          <w:szCs w:val="20"/>
          <w:rtl/>
          <w:lang w:bidi="ar-EG"/>
        </w:rPr>
        <w:t xml:space="preserve"> </w:t>
      </w:r>
      <w:r w:rsidRPr="00677898">
        <w:rPr>
          <w:rFonts w:ascii="Lotus Linotype" w:hAnsi="Lotus Linotype" w:cs="DecoType Thuluth"/>
          <w:b/>
          <w:bCs/>
          <w:color w:val="008000"/>
          <w:sz w:val="20"/>
          <w:szCs w:val="20"/>
          <w:rtl/>
          <w:lang w:bidi="ar-EG"/>
        </w:rPr>
        <w:t>{</w:t>
      </w:r>
      <w:r w:rsidRPr="00677898">
        <w:rPr>
          <w:rFonts w:ascii="QCF_P315" w:hAnsi="QCF_P315" w:cs="QCF_P315"/>
          <w:b/>
          <w:bCs/>
          <w:color w:val="008000"/>
          <w:sz w:val="20"/>
          <w:szCs w:val="20"/>
          <w:rtl/>
        </w:rPr>
        <w:t>ﯮ ﯯ ﯰ</w:t>
      </w:r>
      <w:r w:rsidRPr="00677898">
        <w:rPr>
          <w:rFonts w:ascii="QCF_P315" w:hAnsi="QCF_P315" w:cs="DecoType Thuluth"/>
          <w:b/>
          <w:bCs/>
          <w:color w:val="008000"/>
          <w:sz w:val="20"/>
          <w:szCs w:val="20"/>
          <w:rtl/>
        </w:rPr>
        <w:t>}</w:t>
      </w:r>
      <w:r w:rsidRPr="00677898">
        <w:rPr>
          <w:rFonts w:ascii="Lotus Linotype" w:hAnsi="Lotus Linotype" w:cs="AL-Hotham"/>
          <w:b/>
          <w:bCs/>
          <w:sz w:val="20"/>
          <w:szCs w:val="20"/>
          <w:rtl/>
          <w:lang w:bidi="ar-EG"/>
        </w:rPr>
        <w:t xml:space="preserve"> </w:t>
      </w:r>
      <w:r w:rsidRPr="00677898">
        <w:rPr>
          <w:rFonts w:asciiTheme="majorBidi" w:hAnsiTheme="majorBidi" w:cstheme="majorBidi"/>
          <w:b/>
          <w:bCs/>
          <w:sz w:val="20"/>
          <w:szCs w:val="20"/>
          <w:rtl/>
          <w:lang w:bidi="ar-EG"/>
        </w:rPr>
        <w:t>فقد رسمت هذه الآية في المصحف العثماني من غير نقط ولا تشكيل ولا تشديد ولا تخفيف في نون "إن" ورسمت "هذان" هكذا هاء ثم ذال ثم نون من غير ألف ولا ياء بعد الذال، وذلك لكي تحتمل وجوه القراءات الأربع الواردة فيها وهي:</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color w:val="000080"/>
          <w:sz w:val="20"/>
          <w:szCs w:val="20"/>
          <w:rtl/>
          <w:lang w:bidi="ar-EG"/>
        </w:rPr>
        <w:t xml:space="preserve">أولًا: </w:t>
      </w:r>
      <w:r w:rsidRPr="00677898">
        <w:rPr>
          <w:rFonts w:asciiTheme="majorBidi" w:hAnsiTheme="majorBidi" w:cstheme="majorBidi"/>
          <w:b/>
          <w:bCs/>
          <w:sz w:val="20"/>
          <w:szCs w:val="20"/>
          <w:rtl/>
          <w:lang w:bidi="ar-EG"/>
        </w:rPr>
        <w:t>قراءة نافع إذ يشددون نون "إنَّ" ويخففون نون "هذان" بالألف.</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color w:val="000080"/>
          <w:sz w:val="20"/>
          <w:szCs w:val="20"/>
          <w:rtl/>
          <w:lang w:bidi="ar-EG"/>
        </w:rPr>
        <w:t xml:space="preserve">ثانيًا: </w:t>
      </w:r>
      <w:r w:rsidRPr="00677898">
        <w:rPr>
          <w:rFonts w:asciiTheme="majorBidi" w:hAnsiTheme="majorBidi" w:cstheme="majorBidi"/>
          <w:b/>
          <w:bCs/>
          <w:sz w:val="20"/>
          <w:szCs w:val="20"/>
          <w:rtl/>
          <w:lang w:bidi="ar-EG"/>
        </w:rPr>
        <w:t>قراءة ابن كثير؛ إذ يخفف النون في "إن" ويشدد النون في "هذان".</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color w:val="000080"/>
          <w:sz w:val="20"/>
          <w:szCs w:val="20"/>
          <w:rtl/>
          <w:lang w:bidi="ar-EG"/>
        </w:rPr>
        <w:t xml:space="preserve">ثالثًا: </w:t>
      </w:r>
      <w:r w:rsidRPr="00677898">
        <w:rPr>
          <w:rFonts w:asciiTheme="majorBidi" w:hAnsiTheme="majorBidi" w:cstheme="majorBidi"/>
          <w:b/>
          <w:bCs/>
          <w:sz w:val="20"/>
          <w:szCs w:val="20"/>
          <w:rtl/>
          <w:lang w:bidi="ar-EG"/>
        </w:rPr>
        <w:t>قراءة حفص؛ إذ يخفف النون في "إن" و"هذان".</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color w:val="000080"/>
          <w:sz w:val="20"/>
          <w:szCs w:val="20"/>
          <w:rtl/>
          <w:lang w:bidi="ar-EG"/>
        </w:rPr>
        <w:t>رابعًا:</w:t>
      </w:r>
      <w:r w:rsidRPr="00677898">
        <w:rPr>
          <w:rFonts w:asciiTheme="majorBidi" w:hAnsiTheme="majorBidi" w:cstheme="majorBidi"/>
          <w:b/>
          <w:bCs/>
          <w:sz w:val="20"/>
          <w:szCs w:val="20"/>
          <w:rtl/>
          <w:lang w:bidi="ar-EG"/>
        </w:rPr>
        <w:t xml:space="preserve"> قراءة أبي عمر بتشديد "إن" وبالياء في "هذان" فيقرؤها "هذين".</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sz w:val="20"/>
          <w:szCs w:val="20"/>
          <w:rtl/>
          <w:lang w:bidi="ar-EG"/>
        </w:rPr>
        <w:lastRenderedPageBreak/>
        <w:t>وهذه القراءات وردت كلها بأسانيد صحيحة، ولها توجيهات لغوية سائغة ومقبولة قد ذكرها أهل اللغة في كتبهم وارجع على سبيل المثال إلى كتاب (التبيان في إعراب القرآن) لأبي البقاء العكبرى -رحمه الله- وكذلك كتاب (شرح شذور الذهب) للشيخ زكريا الأنصاري -رحمه الله- وبذلك أكون قد أنهيت الكلام والجواب على أثر سعيد بن جبير.</w:t>
      </w:r>
    </w:p>
    <w:p w:rsidR="00677898" w:rsidRPr="00677898" w:rsidRDefault="00677898" w:rsidP="00677898">
      <w:pPr>
        <w:pStyle w:val="NormalWeb"/>
        <w:bidi/>
        <w:spacing w:before="0" w:beforeAutospacing="0" w:after="120" w:afterAutospacing="0" w:line="276" w:lineRule="auto"/>
        <w:jc w:val="lowKashida"/>
        <w:rPr>
          <w:rFonts w:asciiTheme="majorBidi" w:hAnsiTheme="majorBidi" w:cstheme="majorBidi"/>
          <w:b/>
          <w:bCs/>
          <w:sz w:val="20"/>
          <w:szCs w:val="20"/>
          <w:rtl/>
        </w:rPr>
      </w:pPr>
      <w:r w:rsidRPr="00677898">
        <w:rPr>
          <w:rFonts w:asciiTheme="majorBidi" w:hAnsiTheme="majorBidi" w:cstheme="majorBidi"/>
          <w:b/>
          <w:bCs/>
          <w:sz w:val="20"/>
          <w:szCs w:val="20"/>
          <w:rtl/>
          <w:lang w:bidi="ar-EG"/>
        </w:rPr>
        <w:t>وبعد هذا العرض يتبين لنا أن دعوى وقوع اللحن في المصاحف العثمانية هي من أوهى الدعاوى وأضعفها وأسخفها، وقد نسف علماء المسلمين هذه الدعوى من قواعدها، وبينوا ما تنجلي به هذه الدعوى أتم بيان؛ فسقطت الدعوى وزالت الشبهة، ولله الحمد والمنة.</w:t>
      </w:r>
    </w:p>
    <w:p w:rsidR="00677898" w:rsidRPr="00677898" w:rsidRDefault="00677898" w:rsidP="00677898">
      <w:pPr>
        <w:spacing w:after="120"/>
        <w:jc w:val="center"/>
        <w:rPr>
          <w:rFonts w:asciiTheme="majorBidi" w:hAnsiTheme="majorBidi" w:cstheme="majorBidi"/>
          <w:b/>
          <w:bCs/>
          <w:sz w:val="20"/>
          <w:szCs w:val="20"/>
          <w:rtl/>
        </w:rPr>
      </w:pPr>
      <w:r w:rsidRPr="00677898">
        <w:rPr>
          <w:rFonts w:asciiTheme="majorBidi" w:hAnsiTheme="majorBidi" w:cstheme="majorBidi"/>
          <w:b/>
          <w:bCs/>
          <w:sz w:val="20"/>
          <w:szCs w:val="20"/>
          <w:rtl/>
        </w:rPr>
        <w:t>المصادر والمراجع</w:t>
      </w:r>
    </w:p>
    <w:p w:rsidR="00677898" w:rsidRPr="00677898" w:rsidRDefault="00677898" w:rsidP="00677898">
      <w:pPr>
        <w:numPr>
          <w:ilvl w:val="0"/>
          <w:numId w:val="3"/>
        </w:numPr>
        <w:spacing w:after="120"/>
        <w:jc w:val="lowKashida"/>
        <w:rPr>
          <w:rFonts w:asciiTheme="majorBidi" w:hAnsiTheme="majorBidi" w:cstheme="majorBidi"/>
          <w:b/>
          <w:bCs/>
          <w:sz w:val="20"/>
          <w:szCs w:val="20"/>
          <w:rtl/>
        </w:rPr>
      </w:pPr>
      <w:r w:rsidRPr="00677898">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677898" w:rsidRPr="00677898" w:rsidRDefault="00677898" w:rsidP="00677898">
      <w:pPr>
        <w:numPr>
          <w:ilvl w:val="0"/>
          <w:numId w:val="3"/>
        </w:numPr>
        <w:spacing w:after="120"/>
        <w:jc w:val="lowKashida"/>
        <w:rPr>
          <w:rFonts w:asciiTheme="majorBidi" w:hAnsiTheme="majorBidi" w:cstheme="majorBidi"/>
          <w:b/>
          <w:bCs/>
          <w:sz w:val="20"/>
          <w:szCs w:val="20"/>
          <w:rtl/>
        </w:rPr>
      </w:pPr>
      <w:r w:rsidRPr="00677898">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677898" w:rsidRPr="00677898" w:rsidRDefault="00677898" w:rsidP="00677898">
      <w:pPr>
        <w:numPr>
          <w:ilvl w:val="0"/>
          <w:numId w:val="3"/>
        </w:numPr>
        <w:spacing w:after="120"/>
        <w:jc w:val="lowKashida"/>
        <w:rPr>
          <w:rFonts w:asciiTheme="majorBidi" w:hAnsiTheme="majorBidi" w:cstheme="majorBidi"/>
          <w:b/>
          <w:bCs/>
          <w:sz w:val="20"/>
          <w:szCs w:val="20"/>
        </w:rPr>
      </w:pPr>
      <w:r w:rsidRPr="00677898">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677898" w:rsidRPr="00677898" w:rsidRDefault="00677898" w:rsidP="00677898">
      <w:pPr>
        <w:numPr>
          <w:ilvl w:val="0"/>
          <w:numId w:val="3"/>
        </w:numPr>
        <w:spacing w:after="120"/>
        <w:jc w:val="lowKashida"/>
        <w:rPr>
          <w:rFonts w:asciiTheme="majorBidi" w:hAnsiTheme="majorBidi" w:cstheme="majorBidi"/>
          <w:b/>
          <w:bCs/>
          <w:sz w:val="20"/>
          <w:szCs w:val="20"/>
        </w:rPr>
      </w:pPr>
      <w:r w:rsidRPr="00677898">
        <w:rPr>
          <w:rFonts w:asciiTheme="majorBidi" w:hAnsiTheme="majorBidi" w:cstheme="majorBidi"/>
          <w:b/>
          <w:bCs/>
          <w:sz w:val="20"/>
          <w:szCs w:val="20"/>
          <w:rtl/>
        </w:rPr>
        <w:lastRenderedPageBreak/>
        <w:t>الجزيري، محمد شوقي عبد الرحمن الجزيري، (أدلة اليقين في الرد على مطاعن المبشرين والملحدين) ،دار الإرشاد للطباعة والنشر، 1416هـ</w:t>
      </w:r>
    </w:p>
    <w:p w:rsidR="00677898" w:rsidRPr="00677898" w:rsidRDefault="00677898" w:rsidP="00677898">
      <w:pPr>
        <w:numPr>
          <w:ilvl w:val="0"/>
          <w:numId w:val="3"/>
        </w:numPr>
        <w:spacing w:after="120"/>
        <w:jc w:val="lowKashida"/>
        <w:rPr>
          <w:rFonts w:asciiTheme="majorBidi" w:hAnsiTheme="majorBidi" w:cstheme="majorBidi"/>
          <w:b/>
          <w:bCs/>
          <w:sz w:val="20"/>
          <w:szCs w:val="20"/>
          <w:rtl/>
        </w:rPr>
      </w:pPr>
      <w:r w:rsidRPr="00677898">
        <w:rPr>
          <w:rFonts w:asciiTheme="majorBidi" w:hAnsiTheme="majorBidi" w:cstheme="majorBidi"/>
          <w:b/>
          <w:bCs/>
          <w:sz w:val="20"/>
          <w:szCs w:val="20"/>
          <w:rtl/>
        </w:rPr>
        <w:t>أبي داود، ابن أبي داود، تحقيق: محب الدين واعظ، (المصاحف) ، دار البشائر الإسلامية، 2002م</w:t>
      </w:r>
    </w:p>
    <w:p w:rsidR="00677898" w:rsidRPr="00677898" w:rsidRDefault="00677898" w:rsidP="00677898">
      <w:pPr>
        <w:numPr>
          <w:ilvl w:val="0"/>
          <w:numId w:val="3"/>
        </w:numPr>
        <w:spacing w:after="120"/>
        <w:jc w:val="lowKashida"/>
        <w:rPr>
          <w:rFonts w:asciiTheme="majorBidi" w:hAnsiTheme="majorBidi" w:cstheme="majorBidi"/>
          <w:b/>
          <w:bCs/>
          <w:sz w:val="20"/>
          <w:szCs w:val="20"/>
        </w:rPr>
      </w:pPr>
      <w:r w:rsidRPr="00677898">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677898" w:rsidRPr="00677898" w:rsidRDefault="00677898" w:rsidP="00677898">
      <w:pPr>
        <w:numPr>
          <w:ilvl w:val="0"/>
          <w:numId w:val="3"/>
        </w:numPr>
        <w:spacing w:after="120"/>
        <w:jc w:val="lowKashida"/>
        <w:rPr>
          <w:rFonts w:asciiTheme="majorBidi" w:hAnsiTheme="majorBidi" w:cstheme="majorBidi"/>
          <w:b/>
          <w:bCs/>
          <w:sz w:val="20"/>
          <w:szCs w:val="20"/>
          <w:rtl/>
        </w:rPr>
      </w:pPr>
      <w:r w:rsidRPr="00677898">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677898" w:rsidRPr="00677898" w:rsidRDefault="00677898" w:rsidP="00677898">
      <w:pPr>
        <w:numPr>
          <w:ilvl w:val="0"/>
          <w:numId w:val="3"/>
        </w:numPr>
        <w:spacing w:after="120"/>
        <w:jc w:val="lowKashida"/>
        <w:rPr>
          <w:rFonts w:asciiTheme="majorBidi" w:hAnsiTheme="majorBidi" w:cstheme="majorBidi"/>
          <w:b/>
          <w:bCs/>
          <w:sz w:val="20"/>
          <w:szCs w:val="20"/>
          <w:rtl/>
        </w:rPr>
      </w:pPr>
      <w:r w:rsidRPr="00677898">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677898" w:rsidRPr="00677898" w:rsidRDefault="00677898" w:rsidP="00677898">
      <w:pPr>
        <w:numPr>
          <w:ilvl w:val="0"/>
          <w:numId w:val="3"/>
        </w:numPr>
        <w:spacing w:after="120"/>
        <w:jc w:val="lowKashida"/>
        <w:rPr>
          <w:rFonts w:asciiTheme="majorBidi" w:hAnsiTheme="majorBidi" w:cstheme="majorBidi"/>
          <w:b/>
          <w:bCs/>
          <w:sz w:val="20"/>
          <w:szCs w:val="20"/>
        </w:rPr>
      </w:pPr>
      <w:r w:rsidRPr="00677898">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677898" w:rsidRPr="00677898" w:rsidRDefault="00677898" w:rsidP="00677898">
      <w:pPr>
        <w:numPr>
          <w:ilvl w:val="0"/>
          <w:numId w:val="3"/>
        </w:numPr>
        <w:spacing w:after="120"/>
        <w:jc w:val="lowKashida"/>
        <w:rPr>
          <w:rFonts w:asciiTheme="majorBidi" w:hAnsiTheme="majorBidi" w:cstheme="majorBidi"/>
          <w:b/>
          <w:bCs/>
          <w:sz w:val="20"/>
          <w:szCs w:val="20"/>
        </w:rPr>
      </w:pPr>
      <w:r w:rsidRPr="00677898">
        <w:rPr>
          <w:rFonts w:asciiTheme="majorBidi" w:hAnsiTheme="majorBidi" w:cstheme="majorBidi"/>
          <w:b/>
          <w:bCs/>
          <w:sz w:val="20"/>
          <w:szCs w:val="20"/>
          <w:rtl/>
        </w:rPr>
        <w:t>أبو زهرة، محمد أبو زهرة، (المعجزة الكبرى القرآن)  ، دار طيب للنشر، 2003م</w:t>
      </w:r>
    </w:p>
    <w:p w:rsidR="00677898" w:rsidRPr="00677898" w:rsidRDefault="00677898" w:rsidP="00677898">
      <w:pPr>
        <w:numPr>
          <w:ilvl w:val="0"/>
          <w:numId w:val="3"/>
        </w:numPr>
        <w:spacing w:after="120"/>
        <w:jc w:val="lowKashida"/>
        <w:rPr>
          <w:rFonts w:asciiTheme="majorBidi" w:hAnsiTheme="majorBidi" w:cstheme="majorBidi"/>
          <w:b/>
          <w:bCs/>
          <w:sz w:val="20"/>
          <w:szCs w:val="20"/>
        </w:rPr>
      </w:pPr>
      <w:r w:rsidRPr="00677898">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677898" w:rsidRPr="00677898" w:rsidRDefault="00677898" w:rsidP="00677898">
      <w:pPr>
        <w:numPr>
          <w:ilvl w:val="0"/>
          <w:numId w:val="3"/>
        </w:numPr>
        <w:spacing w:after="120"/>
        <w:jc w:val="lowKashida"/>
        <w:rPr>
          <w:rFonts w:asciiTheme="majorBidi" w:hAnsiTheme="majorBidi" w:cstheme="majorBidi"/>
          <w:b/>
          <w:bCs/>
          <w:sz w:val="20"/>
          <w:szCs w:val="20"/>
        </w:rPr>
      </w:pPr>
      <w:r w:rsidRPr="00677898">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677898" w:rsidRPr="00677898" w:rsidRDefault="00677898" w:rsidP="00677898">
      <w:pPr>
        <w:rPr>
          <w:rFonts w:asciiTheme="majorBidi" w:hAnsiTheme="majorBidi" w:cstheme="majorBidi"/>
          <w:i/>
          <w:iCs/>
          <w:rtl/>
        </w:rPr>
        <w:sectPr w:rsidR="00677898" w:rsidRPr="00677898" w:rsidSect="00677898">
          <w:type w:val="continuous"/>
          <w:pgSz w:w="11906" w:h="16838"/>
          <w:pgMar w:top="964" w:right="1021" w:bottom="964" w:left="1021" w:header="709" w:footer="709" w:gutter="0"/>
          <w:cols w:num="2" w:space="708"/>
          <w:bidi/>
          <w:rtlGutter/>
          <w:docGrid w:linePitch="360"/>
        </w:sectPr>
      </w:pPr>
    </w:p>
    <w:p w:rsidR="00677898" w:rsidRPr="00677898" w:rsidRDefault="00677898" w:rsidP="00677898">
      <w:pPr>
        <w:rPr>
          <w:rFonts w:asciiTheme="majorBidi" w:hAnsiTheme="majorBidi" w:cstheme="majorBidi"/>
          <w:i/>
          <w:iCs/>
        </w:rPr>
      </w:pPr>
    </w:p>
    <w:sectPr w:rsidR="00677898" w:rsidRPr="00677898" w:rsidSect="0067789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1" w:usb1="80000000" w:usb2="00000008" w:usb3="00000000" w:csb0="00000040" w:csb1="00000000"/>
  </w:font>
  <w:font w:name="QCF_P119">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555">
    <w:panose1 w:val="02000400000000000000"/>
    <w:charset w:val="00"/>
    <w:family w:val="auto"/>
    <w:pitch w:val="variable"/>
    <w:sig w:usb0="80002003" w:usb1="90000000" w:usb2="00000008" w:usb3="00000000" w:csb0="80000041" w:csb1="00000000"/>
  </w:font>
  <w:font w:name="QCF_P31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613599"/>
    <w:multiLevelType w:val="hybridMultilevel"/>
    <w:tmpl w:val="FD0AFE34"/>
    <w:lvl w:ilvl="0" w:tplc="46F45CF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8C702E5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77898"/>
    <w:rsid w:val="0039305A"/>
    <w:rsid w:val="00514443"/>
    <w:rsid w:val="00647427"/>
    <w:rsid w:val="00677898"/>
    <w:rsid w:val="009556CB"/>
    <w:rsid w:val="00BF7572"/>
    <w:rsid w:val="00F90D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77898"/>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778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789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2013-06-23T07:49:00Z</dcterms:created>
  <dcterms:modified xsi:type="dcterms:W3CDTF">2013-06-26T21:47:00Z</dcterms:modified>
</cp:coreProperties>
</file>