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074A3" w:rsidP="00B074A3">
      <w:pPr>
        <w:spacing w:line="240" w:lineRule="auto"/>
        <w:jc w:val="center"/>
        <w:rPr>
          <w:i/>
          <w:iCs/>
          <w:rtl/>
        </w:rPr>
      </w:pPr>
      <w:r w:rsidRPr="00B074A3">
        <w:rPr>
          <w:rFonts w:asciiTheme="majorBidi" w:eastAsia="Calibri" w:hAnsiTheme="majorBidi" w:cstheme="majorBidi"/>
          <w:i/>
          <w:iCs/>
          <w:sz w:val="48"/>
          <w:szCs w:val="48"/>
          <w:rtl/>
        </w:rPr>
        <w:t>أقسام الإسرائيليات</w:t>
      </w:r>
    </w:p>
    <w:p w:rsidR="00B074A3" w:rsidRPr="009264EA" w:rsidRDefault="00B074A3" w:rsidP="00B074A3">
      <w:pPr>
        <w:pStyle w:val="papersubtitle"/>
        <w:bidi/>
        <w:rPr>
          <w:i/>
          <w:iCs/>
          <w:rtl/>
        </w:rPr>
      </w:pPr>
      <w:r w:rsidRPr="009264EA">
        <w:rPr>
          <w:i/>
          <w:iCs/>
          <w:rtl/>
        </w:rPr>
        <w:t xml:space="preserve">بحث  فى </w:t>
      </w:r>
      <w:r>
        <w:rPr>
          <w:rFonts w:hint="cs"/>
          <w:i/>
          <w:iCs/>
          <w:rtl/>
        </w:rPr>
        <w:t>الدخيل فى التفسير</w:t>
      </w:r>
    </w:p>
    <w:p w:rsidR="00B074A3" w:rsidRPr="009264EA" w:rsidRDefault="00B074A3" w:rsidP="00332661">
      <w:pPr>
        <w:pStyle w:val="papersubtitle"/>
        <w:bidi/>
        <w:rPr>
          <w:i/>
          <w:iCs/>
          <w:sz w:val="24"/>
          <w:szCs w:val="24"/>
        </w:rPr>
      </w:pPr>
      <w:r w:rsidRPr="009264EA">
        <w:rPr>
          <w:i/>
          <w:iCs/>
          <w:sz w:val="24"/>
          <w:szCs w:val="24"/>
          <w:rtl/>
        </w:rPr>
        <w:t xml:space="preserve">إعداد أ/ </w:t>
      </w:r>
      <w:r w:rsidR="00332661" w:rsidRPr="00332661">
        <w:rPr>
          <w:rFonts w:hint="cs"/>
          <w:i/>
          <w:iCs/>
          <w:sz w:val="24"/>
          <w:szCs w:val="24"/>
          <w:rtl/>
        </w:rPr>
        <w:t>د. وليد علي الطنطاوي</w:t>
      </w:r>
    </w:p>
    <w:p w:rsidR="00B074A3" w:rsidRPr="009264EA" w:rsidRDefault="00B074A3" w:rsidP="00B074A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074A3" w:rsidRPr="009264EA" w:rsidRDefault="00B074A3" w:rsidP="00B074A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074A3" w:rsidRPr="009264EA" w:rsidRDefault="00B074A3" w:rsidP="00B074A3">
      <w:pPr>
        <w:pStyle w:val="papersubtitle"/>
        <w:bidi/>
        <w:rPr>
          <w:i/>
          <w:iCs/>
          <w:sz w:val="22"/>
          <w:szCs w:val="22"/>
          <w:rtl/>
        </w:rPr>
      </w:pPr>
      <w:r w:rsidRPr="009264EA">
        <w:rPr>
          <w:i/>
          <w:iCs/>
          <w:sz w:val="22"/>
          <w:szCs w:val="22"/>
          <w:rtl/>
        </w:rPr>
        <w:t>شاه علم – ماليزيا</w:t>
      </w:r>
    </w:p>
    <w:p w:rsidR="00B074A3" w:rsidRDefault="00332661" w:rsidP="00B074A3">
      <w:pPr>
        <w:spacing w:line="240" w:lineRule="auto"/>
        <w:jc w:val="center"/>
        <w:rPr>
          <w:rFonts w:ascii="Calibri" w:hAnsi="Calibri" w:cs="AL-Mateen"/>
          <w:sz w:val="32"/>
          <w:szCs w:val="32"/>
          <w:lang w:bidi="ar-EG"/>
        </w:rPr>
      </w:pPr>
      <w:r w:rsidRPr="00332661">
        <w:rPr>
          <w:rFonts w:asciiTheme="majorBidi" w:hAnsiTheme="majorBidi" w:cs="AL-Hotham"/>
          <w:i/>
          <w:iCs/>
        </w:rPr>
        <w:t>waleed.eltantawy@mediu.edu.my</w:t>
      </w:r>
    </w:p>
    <w:p w:rsidR="00B074A3" w:rsidRDefault="00B074A3" w:rsidP="00B074A3">
      <w:pPr>
        <w:spacing w:after="120" w:line="240" w:lineRule="auto"/>
        <w:rPr>
          <w:rFonts w:asciiTheme="majorBidi" w:hAnsiTheme="majorBidi" w:cstheme="majorBidi"/>
          <w:sz w:val="20"/>
          <w:szCs w:val="20"/>
          <w:rtl/>
        </w:rPr>
        <w:sectPr w:rsidR="00B074A3" w:rsidSect="00BF7572">
          <w:pgSz w:w="11906" w:h="16838"/>
          <w:pgMar w:top="964" w:right="1021" w:bottom="964" w:left="1021" w:header="709" w:footer="709" w:gutter="0"/>
          <w:cols w:space="708"/>
          <w:bidi/>
          <w:rtlGutter/>
          <w:docGrid w:linePitch="360"/>
        </w:sectPr>
      </w:pPr>
    </w:p>
    <w:p w:rsidR="00B074A3" w:rsidRPr="00B074A3" w:rsidRDefault="00B074A3" w:rsidP="00B074A3">
      <w:pPr>
        <w:spacing w:after="120" w:line="240" w:lineRule="auto"/>
        <w:rPr>
          <w:rFonts w:asciiTheme="majorBidi" w:hAnsiTheme="majorBidi" w:cstheme="majorBidi"/>
          <w:b/>
          <w:bCs/>
          <w:sz w:val="20"/>
          <w:szCs w:val="20"/>
          <w:rtl/>
        </w:rPr>
      </w:pPr>
      <w:r w:rsidRPr="00B074A3">
        <w:rPr>
          <w:rFonts w:asciiTheme="majorBidi" w:hAnsiTheme="majorBidi" w:cstheme="majorBidi"/>
          <w:b/>
          <w:bCs/>
          <w:sz w:val="20"/>
          <w:szCs w:val="20"/>
          <w:rtl/>
        </w:rPr>
        <w:lastRenderedPageBreak/>
        <w:t xml:space="preserve">خلاصة ـــ هذا البحث يبحث في </w:t>
      </w:r>
      <w:r w:rsidRPr="00B074A3">
        <w:rPr>
          <w:rFonts w:asciiTheme="majorBidi" w:eastAsia="Calibri" w:hAnsiTheme="majorBidi" w:cstheme="majorBidi"/>
          <w:b/>
          <w:bCs/>
          <w:sz w:val="20"/>
          <w:szCs w:val="20"/>
          <w:rtl/>
        </w:rPr>
        <w:t>أقسام الإسرائيليات</w:t>
      </w:r>
    </w:p>
    <w:p w:rsidR="00B074A3" w:rsidRPr="00B074A3" w:rsidRDefault="00B074A3" w:rsidP="00B074A3">
      <w:pPr>
        <w:spacing w:after="120" w:line="240" w:lineRule="auto"/>
        <w:rPr>
          <w:rFonts w:asciiTheme="majorBidi" w:hAnsiTheme="majorBidi" w:cstheme="majorBidi"/>
          <w:b/>
          <w:bCs/>
          <w:sz w:val="20"/>
          <w:szCs w:val="20"/>
          <w:rtl/>
          <w:lang w:bidi="ar-EG"/>
        </w:rPr>
      </w:pPr>
      <w:r w:rsidRPr="00B074A3">
        <w:rPr>
          <w:rFonts w:asciiTheme="majorBidi" w:hAnsiTheme="majorBidi" w:cstheme="majorBidi"/>
          <w:b/>
          <w:bCs/>
          <w:sz w:val="20"/>
          <w:szCs w:val="20"/>
          <w:rtl/>
        </w:rPr>
        <w:t xml:space="preserve">الكلمات المفتاحية : الخبر الإسرائيلي ، المواعظ ، الإسرائيليات </w:t>
      </w:r>
    </w:p>
    <w:p w:rsidR="00B074A3" w:rsidRPr="00B074A3" w:rsidRDefault="00B074A3" w:rsidP="00B074A3">
      <w:pPr>
        <w:pStyle w:val="a4"/>
        <w:numPr>
          <w:ilvl w:val="0"/>
          <w:numId w:val="1"/>
        </w:numPr>
        <w:spacing w:after="120"/>
        <w:jc w:val="center"/>
        <w:rPr>
          <w:rFonts w:asciiTheme="majorBidi" w:hAnsiTheme="majorBidi" w:cstheme="majorBidi"/>
          <w:b/>
          <w:bCs/>
          <w:sz w:val="20"/>
          <w:szCs w:val="20"/>
          <w:rtl/>
        </w:rPr>
      </w:pPr>
      <w:r w:rsidRPr="00B074A3">
        <w:rPr>
          <w:rFonts w:asciiTheme="majorBidi" w:hAnsiTheme="majorBidi" w:cstheme="majorBidi"/>
          <w:b/>
          <w:bCs/>
          <w:sz w:val="20"/>
          <w:szCs w:val="20"/>
          <w:rtl/>
        </w:rPr>
        <w:t>المقدمة</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tl/>
        </w:rPr>
      </w:pPr>
      <w:r w:rsidRPr="00B074A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074A3">
        <w:rPr>
          <w:rFonts w:asciiTheme="majorBidi" w:eastAsia="Calibri" w:hAnsiTheme="majorBidi" w:cstheme="majorBidi"/>
          <w:b/>
          <w:bCs/>
          <w:sz w:val="20"/>
          <w:szCs w:val="20"/>
          <w:rtl/>
        </w:rPr>
        <w:t>أقسام الإسرائيليات</w:t>
      </w:r>
    </w:p>
    <w:p w:rsidR="00B074A3" w:rsidRPr="00B074A3" w:rsidRDefault="00B074A3" w:rsidP="00B074A3">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B074A3">
        <w:rPr>
          <w:rFonts w:asciiTheme="majorBidi" w:hAnsiTheme="majorBidi" w:cstheme="majorBidi"/>
          <w:b/>
          <w:bCs/>
          <w:sz w:val="20"/>
          <w:szCs w:val="20"/>
          <w:rtl/>
        </w:rPr>
        <w:t>عنوان المقال</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rPr>
        <w:t xml:space="preserve">تنقسم باعتبار معنى الخبر الإسرائيلي وموضوعه، وهو بهذا ينقسم إلى ما يتعلق بالعقائد، وما يتعلق بالأحكام، وما يتعلق بالمواعظ أو الحوادث التي لا صلةَ لها لا بالعقائد، ولا بالأحكام، نأخذ مثالًا سريعًا عن كل نوعٍ من هذه الأنواع، ثم نثنِّي بما هو أهم، وهو أقسام الإسرائيليات من حيث القبول والرد. </w:t>
      </w:r>
    </w:p>
    <w:p w:rsidR="00B074A3" w:rsidRPr="00B074A3" w:rsidRDefault="00B074A3" w:rsidP="00B074A3">
      <w:pPr>
        <w:pStyle w:val="a3"/>
        <w:bidi/>
        <w:jc w:val="lowKashida"/>
        <w:rPr>
          <w:rFonts w:asciiTheme="majorBidi" w:hAnsiTheme="majorBidi" w:cstheme="majorBidi"/>
          <w:b/>
          <w:bCs/>
          <w:color w:val="000080"/>
          <w:sz w:val="20"/>
          <w:szCs w:val="20"/>
          <w:lang w:bidi="ar-EG"/>
        </w:rPr>
      </w:pPr>
      <w:r w:rsidRPr="00B074A3">
        <w:rPr>
          <w:rFonts w:asciiTheme="majorBidi" w:hAnsiTheme="majorBidi" w:cstheme="majorBidi"/>
          <w:b/>
          <w:bCs/>
          <w:color w:val="000080"/>
          <w:sz w:val="20"/>
          <w:szCs w:val="20"/>
          <w:rtl/>
          <w:lang w:bidi="ar-EG"/>
        </w:rPr>
        <w:t xml:space="preserve">أولًا: ما يتعلق بالعقائد: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rPr>
        <w:t xml:space="preserve">رويت عندنا أحاديث صحيحة، منها ما رواه البخاري في كتاب التفسير، باب قوله تعالى: </w:t>
      </w:r>
      <w:r w:rsidRPr="00B074A3">
        <w:rPr>
          <w:rFonts w:ascii="Tahoma" w:hAnsi="Tahoma" w:cs="DecoType Thuluth" w:hint="cs"/>
          <w:color w:val="008000"/>
          <w:sz w:val="20"/>
          <w:szCs w:val="20"/>
          <w:rtl/>
        </w:rPr>
        <w:t>{</w:t>
      </w:r>
      <w:r w:rsidRPr="00B074A3">
        <w:rPr>
          <w:rFonts w:ascii="QCF_P139" w:hAnsi="QCF_P139" w:cs="QCF_P139"/>
          <w:color w:val="008000"/>
          <w:sz w:val="20"/>
          <w:szCs w:val="20"/>
          <w:rtl/>
        </w:rPr>
        <w:t>ﭑ ﭒ ﭓ ﭔ ﭕ</w:t>
      </w:r>
      <w:r w:rsidRPr="00B074A3">
        <w:rPr>
          <w:rFonts w:ascii="QCF_P139" w:hAnsi="QCF_P139" w:cs="DecoType Thuluth"/>
          <w:color w:val="008000"/>
          <w:sz w:val="20"/>
          <w:szCs w:val="20"/>
          <w:rtl/>
        </w:rPr>
        <w:t>}</w:t>
      </w:r>
      <w:r w:rsidRPr="00B074A3">
        <w:rPr>
          <w:rFonts w:cs="AL-Hotham" w:hint="cs"/>
          <w:sz w:val="20"/>
          <w:szCs w:val="20"/>
          <w:rtl/>
        </w:rPr>
        <w:t>.</w:t>
      </w:r>
      <w:r w:rsidRPr="00B074A3">
        <w:rPr>
          <w:rFonts w:asciiTheme="majorBidi" w:hAnsiTheme="majorBidi" w:cstheme="majorBidi"/>
          <w:b/>
          <w:bCs/>
          <w:sz w:val="20"/>
          <w:szCs w:val="20"/>
          <w:rtl/>
        </w:rPr>
        <w:t xml:space="preserve"> [الأنعام: 91] ونص الحديث الذي رواه الإمام البخاري قال: جاء حبر من الأحبار إلى رسول الله </w:t>
      </w:r>
      <w:r w:rsidR="002A2B1F">
        <w:rPr>
          <w:rFonts w:asciiTheme="majorBidi" w:hAnsiTheme="majorBidi" w:cstheme="majorBidi"/>
          <w:b/>
          <w:bCs/>
          <w:position w:val="-4"/>
          <w:sz w:val="20"/>
          <w:szCs w:val="20"/>
          <w:rtl/>
        </w:rPr>
        <w:t>صلى الله عليه وسلم</w:t>
      </w:r>
      <w:r w:rsidRPr="00B074A3">
        <w:rPr>
          <w:rFonts w:asciiTheme="majorBidi" w:hAnsiTheme="majorBidi" w:cstheme="majorBidi"/>
          <w:b/>
          <w:bCs/>
          <w:sz w:val="20"/>
          <w:szCs w:val="20"/>
          <w:rtl/>
        </w:rPr>
        <w:t xml:space="preserve"> فقال: يا محمد، إنا نجد أن الله يجعل السموات على إصبع، والأراضين على إصبع، والشجر على إصبع، والماء والثَّرَى على إصبع، وسائر الخلائق على إصبع، فيقول -جل وعلا-: أنا الملك. فضِحك النبي </w:t>
      </w:r>
      <w:r w:rsidR="002A2B1F">
        <w:rPr>
          <w:rFonts w:asciiTheme="majorBidi" w:hAnsiTheme="majorBidi" w:cstheme="majorBidi"/>
          <w:b/>
          <w:bCs/>
          <w:position w:val="-4"/>
          <w:sz w:val="20"/>
          <w:szCs w:val="20"/>
          <w:rtl/>
        </w:rPr>
        <w:t>صلى الله عليه وسلم</w:t>
      </w:r>
      <w:r w:rsidRPr="00B074A3">
        <w:rPr>
          <w:rFonts w:asciiTheme="majorBidi" w:hAnsiTheme="majorBidi" w:cstheme="majorBidi"/>
          <w:b/>
          <w:bCs/>
          <w:sz w:val="20"/>
          <w:szCs w:val="20"/>
          <w:rtl/>
        </w:rPr>
        <w:t xml:space="preserve"> حتى بدت نواجذه؛ تصديقًا لقول الحبر، ثم قرأ رسول الله </w:t>
      </w:r>
      <w:r w:rsidR="002A2B1F">
        <w:rPr>
          <w:rFonts w:asciiTheme="majorBidi" w:hAnsiTheme="majorBidi" w:cstheme="majorBidi"/>
          <w:b/>
          <w:bCs/>
          <w:position w:val="-4"/>
          <w:sz w:val="20"/>
          <w:szCs w:val="20"/>
          <w:rtl/>
        </w:rPr>
        <w:t>صلى الله عليه وسلم</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QCF_P139" w:hAnsi="QCF_P139" w:cs="QCF_P139"/>
          <w:color w:val="008000"/>
          <w:sz w:val="20"/>
          <w:szCs w:val="20"/>
          <w:rtl/>
        </w:rPr>
        <w:t>ﭑ ﭒ ﭓ ﭔ ﭕ</w:t>
      </w:r>
      <w:r w:rsidRPr="00B074A3">
        <w:rPr>
          <w:rFonts w:ascii="QCF_P139" w:hAnsi="QCF_P139" w:cs="DecoType Thuluth"/>
          <w:color w:val="008000"/>
          <w:sz w:val="20"/>
          <w:szCs w:val="20"/>
          <w:rtl/>
        </w:rPr>
        <w:t>}</w:t>
      </w:r>
      <w:r w:rsidRPr="00B074A3">
        <w:rPr>
          <w:rFonts w:cs="AL-Hotham" w:hint="cs"/>
          <w:sz w:val="20"/>
          <w:szCs w:val="20"/>
          <w:rtl/>
        </w:rPr>
        <w:t>.</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pacing w:val="-2"/>
          <w:sz w:val="20"/>
          <w:szCs w:val="20"/>
          <w:rtl/>
        </w:rPr>
        <w:t xml:space="preserve">فمعنى قول الراوي: "فضحك النبي </w:t>
      </w:r>
      <w:r w:rsidR="002A2B1F">
        <w:rPr>
          <w:rFonts w:asciiTheme="majorBidi" w:hAnsiTheme="majorBidi" w:cstheme="majorBidi"/>
          <w:b/>
          <w:bCs/>
          <w:spacing w:val="-2"/>
          <w:position w:val="-4"/>
          <w:sz w:val="20"/>
          <w:szCs w:val="20"/>
          <w:rtl/>
        </w:rPr>
        <w:t>صلى الله عليه وسلم</w:t>
      </w:r>
      <w:r w:rsidRPr="00B074A3">
        <w:rPr>
          <w:rFonts w:asciiTheme="majorBidi" w:hAnsiTheme="majorBidi" w:cstheme="majorBidi"/>
          <w:b/>
          <w:bCs/>
          <w:spacing w:val="-2"/>
          <w:sz w:val="20"/>
          <w:szCs w:val="20"/>
          <w:rtl/>
        </w:rPr>
        <w:t xml:space="preserve"> </w:t>
      </w:r>
      <w:r w:rsidRPr="00B074A3">
        <w:rPr>
          <w:rFonts w:asciiTheme="majorBidi" w:hAnsiTheme="majorBidi" w:cstheme="majorBidi"/>
          <w:b/>
          <w:bCs/>
          <w:spacing w:val="-2"/>
          <w:sz w:val="20"/>
          <w:szCs w:val="20"/>
          <w:rtl/>
          <w:lang w:bidi="ar-EG"/>
        </w:rPr>
        <w:t>حتى بدت نواجذه تصديقًا لقول الحبر</w:t>
      </w:r>
      <w:r w:rsidRPr="00B074A3">
        <w:rPr>
          <w:rFonts w:asciiTheme="majorBidi" w:hAnsiTheme="majorBidi" w:cstheme="majorBidi"/>
          <w:b/>
          <w:bCs/>
          <w:spacing w:val="-2"/>
          <w:sz w:val="20"/>
          <w:szCs w:val="20"/>
          <w:rtl/>
        </w:rPr>
        <w:t xml:space="preserve">": </w:t>
      </w:r>
      <w:r w:rsidRPr="00B074A3">
        <w:rPr>
          <w:rFonts w:asciiTheme="majorBidi" w:hAnsiTheme="majorBidi" w:cstheme="majorBidi"/>
          <w:b/>
          <w:bCs/>
          <w:spacing w:val="-2"/>
          <w:sz w:val="20"/>
          <w:szCs w:val="20"/>
          <w:rtl/>
          <w:lang w:bidi="ar-EG"/>
        </w:rPr>
        <w:t>اختلف علماؤنا حول قول</w:t>
      </w:r>
      <w:r w:rsidRPr="00B074A3">
        <w:rPr>
          <w:rFonts w:asciiTheme="majorBidi" w:hAnsiTheme="majorBidi" w:cstheme="majorBidi"/>
          <w:b/>
          <w:bCs/>
          <w:spacing w:val="-2"/>
          <w:sz w:val="20"/>
          <w:szCs w:val="20"/>
          <w:rtl/>
        </w:rPr>
        <w:t xml:space="preserve"> </w:t>
      </w:r>
      <w:r w:rsidRPr="00B074A3">
        <w:rPr>
          <w:rFonts w:asciiTheme="majorBidi" w:hAnsiTheme="majorBidi" w:cstheme="majorBidi"/>
          <w:b/>
          <w:bCs/>
          <w:spacing w:val="-2"/>
          <w:sz w:val="20"/>
          <w:szCs w:val="20"/>
          <w:rtl/>
          <w:lang w:bidi="ar-EG"/>
        </w:rPr>
        <w:t xml:space="preserve">الراوي هذا، فمنهم من ذهب إلى أن ضحك النبي </w:t>
      </w:r>
      <w:r w:rsidR="002A2B1F">
        <w:rPr>
          <w:rFonts w:asciiTheme="majorBidi" w:hAnsiTheme="majorBidi" w:cstheme="majorBidi"/>
          <w:b/>
          <w:bCs/>
          <w:spacing w:val="-2"/>
          <w:position w:val="-4"/>
          <w:sz w:val="20"/>
          <w:szCs w:val="20"/>
          <w:rtl/>
          <w:lang w:bidi="ar-EG"/>
        </w:rPr>
        <w:t>صلى الله عليه وسلم</w:t>
      </w:r>
      <w:r w:rsidRPr="00B074A3">
        <w:rPr>
          <w:rFonts w:asciiTheme="majorBidi" w:hAnsiTheme="majorBidi" w:cstheme="majorBidi"/>
          <w:b/>
          <w:bCs/>
          <w:sz w:val="20"/>
          <w:szCs w:val="20"/>
          <w:rtl/>
          <w:lang w:bidi="ar-EG"/>
        </w:rPr>
        <w:t xml:space="preserve"> من قول الحبر لم يكن تصديقًا له، كما فهم الراوي،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وصرح بذلك في رواية أخرى، وإنما كان تعجبًا وإنكارًا لقول اليهودي الذي يفيد التجسيم</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والتشبيه</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ممن ذهب إلى هذا الرأي الإمام الخطابي، كما نقل عنه ابن حجر في شرحه</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على هذا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الحديث قال: قال الخطابي: لم يقع ذكر الإصبع في القرآن، ولا في حديث مقطوع به، وقد تقرر</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أن اليد ليست بجارحة حتى يتوهم في ثبوتها الأصابع، بل هو</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توقيف أطلقه الشارع فلا يكيف هذا،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ولا يشبه، ولعل ذكر الأصابع</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من تخليط اليهودي؛ لأن اليهود كما نعرف مشبهة، وفيما يدعونه من التوراة ألفاظ تدخل في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باب التشبيه، ولا تدخل في مذاهب المسلمين</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 xml:space="preserve">وأما ضحكه </w:t>
      </w:r>
      <w:r w:rsidR="002A2B1F">
        <w:rPr>
          <w:rFonts w:asciiTheme="majorBidi" w:hAnsiTheme="majorBidi" w:cstheme="majorBidi"/>
          <w:b/>
          <w:bCs/>
          <w:position w:val="-4"/>
          <w:sz w:val="20"/>
          <w:szCs w:val="20"/>
          <w:rtl/>
          <w:lang w:bidi="ar-EG"/>
        </w:rPr>
        <w:t>صلى الله عليه وسلم</w:t>
      </w:r>
      <w:r w:rsidRPr="00B074A3">
        <w:rPr>
          <w:rFonts w:asciiTheme="majorBidi" w:hAnsiTheme="majorBidi" w:cstheme="majorBidi"/>
          <w:b/>
          <w:bCs/>
          <w:sz w:val="20"/>
          <w:szCs w:val="20"/>
          <w:rtl/>
          <w:lang w:bidi="ar-EG"/>
        </w:rPr>
        <w:t xml:space="preserve"> من قول الحبر،</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فيحتمل الرضا والإنكار؛ يعني: يحتمل هذا وذاك، وأما قول الراوي</w:t>
      </w:r>
      <w:r w:rsidRPr="00B074A3">
        <w:rPr>
          <w:rFonts w:asciiTheme="majorBidi" w:hAnsiTheme="majorBidi" w:cstheme="majorBidi"/>
          <w:b/>
          <w:bCs/>
          <w:sz w:val="20"/>
          <w:szCs w:val="20"/>
          <w:rtl/>
        </w:rPr>
        <w:t>: "</w:t>
      </w:r>
      <w:r w:rsidRPr="00B074A3">
        <w:rPr>
          <w:rFonts w:asciiTheme="majorBidi" w:hAnsiTheme="majorBidi" w:cstheme="majorBidi"/>
          <w:b/>
          <w:bCs/>
          <w:sz w:val="20"/>
          <w:szCs w:val="20"/>
          <w:rtl/>
          <w:lang w:bidi="ar-EG"/>
        </w:rPr>
        <w:t>تصديقًا له</w:t>
      </w:r>
      <w:r w:rsidRPr="00B074A3">
        <w:rPr>
          <w:rFonts w:asciiTheme="majorBidi" w:hAnsiTheme="majorBidi" w:cstheme="majorBidi"/>
          <w:b/>
          <w:bCs/>
          <w:sz w:val="20"/>
          <w:szCs w:val="20"/>
          <w:rtl/>
        </w:rPr>
        <w:t>"</w:t>
      </w:r>
      <w:r w:rsidRPr="00B074A3">
        <w:rPr>
          <w:rFonts w:asciiTheme="majorBidi" w:hAnsiTheme="majorBidi" w:cstheme="majorBidi"/>
          <w:b/>
          <w:bCs/>
          <w:sz w:val="20"/>
          <w:szCs w:val="20"/>
          <w:rtl/>
          <w:lang w:bidi="ar-EG"/>
        </w:rPr>
        <w:t>، فهذا ظن</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من الراوي وحسبان، وقد جاء الحديث من طرق أخرى ليس فيها هذه الزيادة، وعلى كل حال</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على تقدير صحتها، قد يستدل بحمرة الوجه على الخجل، كما يستدل بصفرته على</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الوجل، ويكون الأمر بخلاف ذلك، كما فهمنا</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وعلى تقدير أن يكون هذا محفوظًا، فهو محمول على</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تأويل قول الله -جل وعلا</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QCF_P465" w:hAnsi="QCF_P465" w:cs="QCF_P465"/>
          <w:color w:val="008000"/>
          <w:sz w:val="20"/>
          <w:szCs w:val="20"/>
          <w:rtl/>
        </w:rPr>
        <w:t>ﯰ ﯱ ﯲ</w:t>
      </w:r>
      <w:r w:rsidRPr="00B074A3">
        <w:rPr>
          <w:rFonts w:ascii="QCF_P465" w:hAnsi="QCF_P465" w:cs="DecoType Thuluth"/>
          <w:color w:val="008000"/>
          <w:sz w:val="20"/>
          <w:szCs w:val="20"/>
          <w:rtl/>
        </w:rPr>
        <w:t>}</w:t>
      </w:r>
      <w:r w:rsidRPr="00B074A3">
        <w:rPr>
          <w:rFonts w:ascii="Tahoma" w:hAnsi="Tahoma" w:cs="AL-Hotham" w:hint="cs"/>
          <w:color w:val="008000"/>
          <w:sz w:val="20"/>
          <w:szCs w:val="20"/>
          <w:rtl/>
        </w:rPr>
        <w:t xml:space="preserve"> </w:t>
      </w:r>
      <w:r w:rsidRPr="00B074A3">
        <w:rPr>
          <w:rFonts w:asciiTheme="majorBidi" w:hAnsiTheme="majorBidi" w:cstheme="majorBidi"/>
          <w:b/>
          <w:bCs/>
          <w:sz w:val="20"/>
          <w:szCs w:val="20"/>
          <w:rtl/>
        </w:rPr>
        <w:t xml:space="preserve">[الزمر: 67].  </w:t>
      </w:r>
    </w:p>
    <w:p w:rsidR="00B074A3" w:rsidRPr="00B074A3" w:rsidRDefault="00B074A3" w:rsidP="00B074A3">
      <w:pPr>
        <w:pStyle w:val="a3"/>
        <w:bidi/>
        <w:spacing w:before="0" w:beforeAutospacing="0" w:after="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lastRenderedPageBreak/>
        <w:t>كما أن</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الإمام ابن حجر نقل في موضعٍ آخر من (فتح الباري) عن ابن التين أنه قال: تكلف الخطابي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في تأويل الإصبع، وبالغ حتى جعل ضحكه </w:t>
      </w:r>
      <w:r w:rsidR="002A2B1F">
        <w:rPr>
          <w:rFonts w:asciiTheme="majorBidi" w:hAnsiTheme="majorBidi" w:cstheme="majorBidi"/>
          <w:b/>
          <w:bCs/>
          <w:position w:val="-4"/>
          <w:sz w:val="20"/>
          <w:szCs w:val="20"/>
          <w:rtl/>
          <w:lang w:bidi="ar-EG"/>
        </w:rPr>
        <w:t>صلى الله عليه وسلم</w:t>
      </w:r>
      <w:r w:rsidRPr="00B074A3">
        <w:rPr>
          <w:rFonts w:asciiTheme="majorBidi" w:hAnsiTheme="majorBidi" w:cstheme="majorBidi"/>
          <w:b/>
          <w:bCs/>
          <w:sz w:val="20"/>
          <w:szCs w:val="20"/>
          <w:rtl/>
          <w:lang w:bidi="ar-EG"/>
        </w:rPr>
        <w:t xml:space="preserve"> تعجبًا وإنكارًا لما قال</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الحبر، ورد ما وقع في الرواية الأخرى</w:t>
      </w:r>
      <w:r w:rsidRPr="00B074A3">
        <w:rPr>
          <w:rFonts w:asciiTheme="majorBidi" w:hAnsiTheme="majorBidi" w:cstheme="majorBidi"/>
          <w:b/>
          <w:bCs/>
          <w:sz w:val="20"/>
          <w:szCs w:val="20"/>
          <w:rtl/>
        </w:rPr>
        <w:t>: "</w:t>
      </w:r>
      <w:r w:rsidRPr="00B074A3">
        <w:rPr>
          <w:rFonts w:asciiTheme="majorBidi" w:hAnsiTheme="majorBidi" w:cstheme="majorBidi"/>
          <w:b/>
          <w:bCs/>
          <w:sz w:val="20"/>
          <w:szCs w:val="20"/>
          <w:rtl/>
          <w:lang w:bidi="ar-EG"/>
        </w:rPr>
        <w:t>فضحك رسول الله</w:t>
      </w:r>
      <w:r w:rsidRPr="00B074A3">
        <w:rPr>
          <w:rFonts w:asciiTheme="majorBidi" w:hAnsiTheme="majorBidi" w:cstheme="majorBidi"/>
          <w:b/>
          <w:bCs/>
          <w:sz w:val="20"/>
          <w:szCs w:val="20"/>
          <w:rtl/>
        </w:rPr>
        <w:t xml:space="preserve"> </w:t>
      </w:r>
      <w:r w:rsidR="002A2B1F">
        <w:rPr>
          <w:rFonts w:asciiTheme="majorBidi" w:hAnsiTheme="majorBidi" w:cstheme="majorBidi"/>
          <w:b/>
          <w:bCs/>
          <w:position w:val="-4"/>
          <w:sz w:val="20"/>
          <w:szCs w:val="20"/>
          <w:rtl/>
        </w:rPr>
        <w:t>صلى الله عليه وسلم</w:t>
      </w:r>
      <w:r w:rsidRPr="00B074A3">
        <w:rPr>
          <w:rFonts w:asciiTheme="majorBidi" w:hAnsiTheme="majorBidi" w:cstheme="majorBidi"/>
          <w:b/>
          <w:bCs/>
          <w:sz w:val="20"/>
          <w:szCs w:val="20"/>
          <w:rtl/>
          <w:lang w:bidi="ar-EG"/>
        </w:rPr>
        <w:t xml:space="preserve"> تعجبًا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وتصديقًا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بأنه على قدر ما فهم الراوي</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قال الإمام النووي: وظاهر السياق أنه ضحك</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تصديقًا له بدليل قراءة الآية التي تدل على صدق ما قال الحبر</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وعلى كل حال فالأولى في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هذه الأشياء الكف عن التأويل مع اعتقاد تنزيه الله -جل وعلا- فإن كل ما يستلزم النقص</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من ظاهرها غير مراد في هذه النصوص</w:t>
      </w:r>
      <w:r w:rsidRPr="00B074A3">
        <w:rPr>
          <w:rFonts w:asciiTheme="majorBidi" w:hAnsiTheme="majorBidi" w:cstheme="majorBidi"/>
          <w:b/>
          <w:bCs/>
          <w:sz w:val="20"/>
          <w:szCs w:val="20"/>
          <w:rtl/>
        </w:rPr>
        <w:t xml:space="preserve">. </w:t>
      </w:r>
    </w:p>
    <w:p w:rsidR="00B074A3" w:rsidRPr="00B074A3" w:rsidRDefault="00B074A3" w:rsidP="00B074A3">
      <w:pPr>
        <w:pStyle w:val="a3"/>
        <w:bidi/>
        <w:jc w:val="lowKashida"/>
        <w:rPr>
          <w:rFonts w:asciiTheme="majorBidi" w:hAnsiTheme="majorBidi" w:cstheme="majorBidi"/>
          <w:b/>
          <w:bCs/>
          <w:color w:val="000080"/>
          <w:sz w:val="20"/>
          <w:szCs w:val="20"/>
          <w:rtl/>
          <w:lang w:bidi="ar-EG"/>
        </w:rPr>
      </w:pPr>
      <w:r w:rsidRPr="00B074A3">
        <w:rPr>
          <w:rFonts w:asciiTheme="majorBidi" w:hAnsiTheme="majorBidi" w:cstheme="majorBidi"/>
          <w:b/>
          <w:bCs/>
          <w:color w:val="000080"/>
          <w:sz w:val="20"/>
          <w:szCs w:val="20"/>
          <w:rtl/>
          <w:lang w:bidi="ar-EG"/>
        </w:rPr>
        <w:t>ثانيًا: ما يتعلق بالأحكام:</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وهنا أيضًا روى</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الإمام البخاري -رحمه الله- في كتاب التفسير في باب</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QCF_P062" w:hAnsi="QCF_P062" w:cs="QCF_P062"/>
          <w:color w:val="008000"/>
          <w:sz w:val="20"/>
          <w:szCs w:val="20"/>
          <w:rtl/>
        </w:rPr>
        <w:t>ﭵ ﭶ ﭷ ﭸ ﭹ ﭺ ﭻ</w:t>
      </w:r>
      <w:r w:rsidRPr="00B074A3">
        <w:rPr>
          <w:rFonts w:ascii="QCF_P062" w:hAnsi="QCF_P062" w:cs="DecoType Thuluth"/>
          <w:color w:val="008000"/>
          <w:sz w:val="20"/>
          <w:szCs w:val="20"/>
          <w:rtl/>
        </w:rPr>
        <w:t>}</w:t>
      </w:r>
      <w:r w:rsidRPr="00B074A3">
        <w:rPr>
          <w:rFonts w:ascii="Tahoma" w:hAnsi="Tahoma" w:cs="AL-Hotham" w:hint="cs"/>
          <w:color w:val="008000"/>
          <w:sz w:val="20"/>
          <w:szCs w:val="20"/>
          <w:rtl/>
        </w:rPr>
        <w:t xml:space="preserve"> </w:t>
      </w:r>
      <w:r w:rsidRPr="00B074A3">
        <w:rPr>
          <w:rFonts w:asciiTheme="majorBidi" w:hAnsiTheme="majorBidi" w:cstheme="majorBidi"/>
          <w:b/>
          <w:bCs/>
          <w:sz w:val="20"/>
          <w:szCs w:val="20"/>
          <w:rtl/>
        </w:rPr>
        <w:t xml:space="preserve">[آل عمران: 93] </w:t>
      </w:r>
      <w:r w:rsidRPr="00B074A3">
        <w:rPr>
          <w:rFonts w:asciiTheme="majorBidi" w:hAnsiTheme="majorBidi" w:cstheme="majorBidi"/>
          <w:b/>
          <w:bCs/>
          <w:sz w:val="20"/>
          <w:szCs w:val="20"/>
          <w:rtl/>
          <w:lang w:bidi="ar-EG"/>
        </w:rPr>
        <w:t>روى لنا حديثًا عن نافع عن ابن عمر: أن اليهود جاءوا إلى النبي</w:t>
      </w:r>
      <w:r w:rsidRPr="00B074A3">
        <w:rPr>
          <w:rFonts w:asciiTheme="majorBidi" w:hAnsiTheme="majorBidi" w:cstheme="majorBidi"/>
          <w:b/>
          <w:bCs/>
          <w:sz w:val="20"/>
          <w:szCs w:val="20"/>
          <w:rtl/>
        </w:rPr>
        <w:t xml:space="preserve"> </w:t>
      </w:r>
      <w:r w:rsidR="002A2B1F">
        <w:rPr>
          <w:rFonts w:asciiTheme="majorBidi" w:hAnsiTheme="majorBidi" w:cstheme="majorBidi"/>
          <w:b/>
          <w:bCs/>
          <w:position w:val="-4"/>
          <w:sz w:val="20"/>
          <w:szCs w:val="20"/>
          <w:rtl/>
        </w:rPr>
        <w:t>صلى الله عليه وسلم</w:t>
      </w:r>
      <w:r w:rsidRPr="00B074A3">
        <w:rPr>
          <w:rFonts w:asciiTheme="majorBidi" w:hAnsiTheme="majorBidi" w:cstheme="majorBidi"/>
          <w:b/>
          <w:bCs/>
          <w:sz w:val="20"/>
          <w:szCs w:val="20"/>
          <w:rtl/>
          <w:lang w:bidi="ar-EG"/>
        </w:rPr>
        <w:t xml:space="preserve"> برجل منهم وامرأةٍ قد زنيَا فقال</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لهم</w:t>
      </w:r>
      <w:r w:rsidRPr="00B074A3">
        <w:rPr>
          <w:rFonts w:asciiTheme="majorBidi" w:hAnsiTheme="majorBidi" w:cstheme="majorBidi"/>
          <w:b/>
          <w:bCs/>
          <w:sz w:val="20"/>
          <w:szCs w:val="20"/>
          <w:rtl/>
        </w:rPr>
        <w:t xml:space="preserve">: </w:t>
      </w:r>
      <w:r w:rsidRPr="00B074A3">
        <w:rPr>
          <w:rFonts w:asciiTheme="majorBidi" w:hAnsiTheme="majorBidi" w:cstheme="majorBidi"/>
          <w:b/>
          <w:bCs/>
          <w:color w:val="0000FF"/>
          <w:sz w:val="20"/>
          <w:szCs w:val="20"/>
          <w:rtl/>
        </w:rPr>
        <w:t>((</w:t>
      </w:r>
      <w:r w:rsidRPr="00B074A3">
        <w:rPr>
          <w:rFonts w:asciiTheme="majorBidi" w:hAnsiTheme="majorBidi" w:cstheme="majorBidi"/>
          <w:b/>
          <w:bCs/>
          <w:color w:val="0000FF"/>
          <w:sz w:val="20"/>
          <w:szCs w:val="20"/>
          <w:rtl/>
          <w:lang w:bidi="ar-EG"/>
        </w:rPr>
        <w:t>كيف تفعلون بمن زنا منكم؟</w:t>
      </w:r>
      <w:r w:rsidRPr="00B074A3">
        <w:rPr>
          <w:rFonts w:asciiTheme="majorBidi" w:hAnsiTheme="majorBidi" w:cstheme="majorBidi"/>
          <w:b/>
          <w:bCs/>
          <w:color w:val="0000FF"/>
          <w:sz w:val="20"/>
          <w:szCs w:val="20"/>
          <w:rtl/>
        </w:rPr>
        <w:t>))</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قالوا: نحممها؛ أي: نسود وجهها، أو نحممهما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ونضربهما، فقال النبي </w:t>
      </w:r>
      <w:r w:rsidR="002A2B1F">
        <w:rPr>
          <w:rFonts w:asciiTheme="majorBidi" w:hAnsiTheme="majorBidi" w:cstheme="majorBidi"/>
          <w:b/>
          <w:bCs/>
          <w:position w:val="-4"/>
          <w:sz w:val="20"/>
          <w:szCs w:val="20"/>
          <w:rtl/>
          <w:lang w:bidi="ar-EG"/>
        </w:rPr>
        <w:t>صلى الله عليه وسلم</w:t>
      </w:r>
      <w:r w:rsidRPr="00B074A3">
        <w:rPr>
          <w:rFonts w:asciiTheme="majorBidi" w:hAnsiTheme="majorBidi" w:cstheme="majorBidi"/>
          <w:b/>
          <w:bCs/>
          <w:sz w:val="20"/>
          <w:szCs w:val="20"/>
          <w:rtl/>
        </w:rPr>
        <w:t xml:space="preserve">: </w:t>
      </w:r>
      <w:r w:rsidRPr="00B074A3">
        <w:rPr>
          <w:rFonts w:asciiTheme="majorBidi" w:hAnsiTheme="majorBidi" w:cstheme="majorBidi"/>
          <w:b/>
          <w:bCs/>
          <w:color w:val="0000FF"/>
          <w:sz w:val="20"/>
          <w:szCs w:val="20"/>
          <w:rtl/>
        </w:rPr>
        <w:t>((</w:t>
      </w:r>
      <w:r w:rsidRPr="00B074A3">
        <w:rPr>
          <w:rFonts w:asciiTheme="majorBidi" w:hAnsiTheme="majorBidi" w:cstheme="majorBidi"/>
          <w:b/>
          <w:bCs/>
          <w:color w:val="0000FF"/>
          <w:sz w:val="20"/>
          <w:szCs w:val="20"/>
          <w:rtl/>
          <w:lang w:bidi="ar-EG"/>
        </w:rPr>
        <w:t>لا تجدون في التوراة الرجم؟</w:t>
      </w:r>
      <w:r w:rsidRPr="00B074A3">
        <w:rPr>
          <w:rFonts w:asciiTheme="majorBidi" w:hAnsiTheme="majorBidi" w:cstheme="majorBidi"/>
          <w:b/>
          <w:bCs/>
          <w:color w:val="0000FF"/>
          <w:sz w:val="20"/>
          <w:szCs w:val="20"/>
          <w:rtl/>
        </w:rPr>
        <w:t>))</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فقالوا: لا نجد فيها شيئًا. فقال لهم عبد الله بن سلام - عالمهم وحبرهم وإمامهم-: كذبتم</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Tahoma" w:hAnsi="Tahoma" w:cs="AL-Hotham" w:hint="cs"/>
          <w:color w:val="008000"/>
          <w:sz w:val="20"/>
          <w:szCs w:val="20"/>
          <w:rtl/>
        </w:rPr>
        <w:t>فأتوا بالتوراة فاتلوها إن كنتم صادقين</w:t>
      </w:r>
      <w:r w:rsidRPr="00B074A3">
        <w:rPr>
          <w:rFonts w:ascii="Tahoma" w:hAnsi="Tahoma" w:cs="DecoType Thuluth" w:hint="cs"/>
          <w:color w:val="008000"/>
          <w:sz w:val="20"/>
          <w:szCs w:val="20"/>
          <w:rtl/>
        </w:rPr>
        <w:t>}</w:t>
      </w:r>
      <w:r w:rsidRPr="00B074A3">
        <w:rPr>
          <w:rFonts w:ascii="Tahoma" w:hAnsi="Tahoma" w:cs="AL-Hotham" w:hint="cs"/>
          <w:color w:val="008000"/>
          <w:sz w:val="20"/>
          <w:szCs w:val="20"/>
          <w:rtl/>
        </w:rPr>
        <w:t xml:space="preserve"> </w:t>
      </w:r>
      <w:r w:rsidRPr="00B074A3">
        <w:rPr>
          <w:rFonts w:asciiTheme="majorBidi" w:hAnsiTheme="majorBidi" w:cstheme="majorBidi"/>
          <w:b/>
          <w:bCs/>
          <w:sz w:val="20"/>
          <w:szCs w:val="20"/>
          <w:rtl/>
        </w:rPr>
        <w:t>[</w:t>
      </w:r>
      <w:r w:rsidRPr="00B074A3">
        <w:rPr>
          <w:rFonts w:asciiTheme="majorBidi" w:hAnsiTheme="majorBidi" w:cstheme="majorBidi"/>
          <w:b/>
          <w:bCs/>
          <w:sz w:val="20"/>
          <w:szCs w:val="20"/>
          <w:rtl/>
          <w:lang w:bidi="ar-EG"/>
        </w:rPr>
        <w:t>آل عمران: 93] فوضع مدراسها الذي يدرسها منهم كفه على آية الرجم، فطفق</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يقرأ ما دون يده وما وراءها، ولا يقرأ آية الرجم، فنزع يده عن آية الرجم، فقال: ما هذه؟</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فلما رأوا ذلك قالوا: هي آية الرجم، فأمر بهما فرجما قريبًا من حيث موضع الجنائز</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قال</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فرأيت أنهم يميلون وينحنون عليها، وهي تضرب بالحجارة، مثال ذلك، وهو ما يتعلق</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بالمواعظ أو الحوادث التي لا تمت إلى العقائد والأحكام بصلة ما أورده ابن كثير عند</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قوله</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QCF_P225" w:hAnsi="QCF_P225" w:cs="QCF_P225"/>
          <w:color w:val="008000"/>
          <w:sz w:val="20"/>
          <w:szCs w:val="20"/>
          <w:rtl/>
        </w:rPr>
        <w:t>ﰆ ﰇ ﰈ ﰉ ﰊ ﰋ ﰌ ﰍ ﰎ ﰏ ﰐ ﰑ</w:t>
      </w:r>
      <w:r w:rsidRPr="00B074A3">
        <w:rPr>
          <w:rFonts w:ascii="QCF_P225" w:hAnsi="QCF_P225" w:cs="DecoType Thuluth"/>
          <w:color w:val="008000"/>
          <w:sz w:val="20"/>
          <w:szCs w:val="20"/>
          <w:rtl/>
        </w:rPr>
        <w:t>}</w:t>
      </w:r>
      <w:r w:rsidRPr="00B074A3">
        <w:rPr>
          <w:rFonts w:ascii="Tahoma" w:hAnsi="Tahoma" w:cs="AL-Hotham" w:hint="cs"/>
          <w:color w:val="008000"/>
          <w:sz w:val="20"/>
          <w:szCs w:val="20"/>
          <w:rtl/>
        </w:rPr>
        <w:t xml:space="preserve"> </w:t>
      </w:r>
      <w:r w:rsidRPr="00B074A3">
        <w:rPr>
          <w:rFonts w:asciiTheme="majorBidi" w:hAnsiTheme="majorBidi" w:cstheme="majorBidi"/>
          <w:b/>
          <w:bCs/>
          <w:sz w:val="20"/>
          <w:szCs w:val="20"/>
          <w:rtl/>
        </w:rPr>
        <w:t xml:space="preserve">[هود: 37] </w:t>
      </w:r>
      <w:r w:rsidRPr="00B074A3">
        <w:rPr>
          <w:rFonts w:asciiTheme="majorBidi" w:hAnsiTheme="majorBidi" w:cstheme="majorBidi"/>
          <w:b/>
          <w:bCs/>
          <w:sz w:val="20"/>
          <w:szCs w:val="20"/>
          <w:rtl/>
          <w:lang w:bidi="ar-EG"/>
        </w:rPr>
        <w:t>ذكر محمد بن إسحاق عن التوراة أن الله أمر نوحًا أن يصنع السفينة</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من خشب الساج، وأن يجعل طولها ثمانين ذراعًا وعرضها خمسين ذراعًا وأن يطلي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باطنها وظاهرها بالقار، وأن يجعل لها جؤجؤًا أزور يشق الماء... كل هذا من كلام</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الإسرائيليات باعتباراتها المختلفة التي ذكرنا أنها تتعلق إما بالعقائد أو بالأحكام</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أو بالمواعظ</w:t>
      </w:r>
      <w:r w:rsidRPr="00B074A3">
        <w:rPr>
          <w:rFonts w:asciiTheme="majorBidi" w:hAnsiTheme="majorBidi" w:cstheme="majorBidi"/>
          <w:b/>
          <w:bCs/>
          <w:sz w:val="20"/>
          <w:szCs w:val="20"/>
          <w:rtl/>
        </w:rPr>
        <w:t>.</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أما أقسام الإسرائيليات من حيث القبول والرد، فهي تنقسم إلى</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ثلاثة أقسام</w:t>
      </w:r>
      <w:r w:rsidRPr="00B074A3">
        <w:rPr>
          <w:rFonts w:asciiTheme="majorBidi" w:hAnsiTheme="majorBidi" w:cstheme="majorBidi"/>
          <w:b/>
          <w:bCs/>
          <w:sz w:val="20"/>
          <w:szCs w:val="20"/>
          <w:rtl/>
        </w:rPr>
        <w:t>:</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color w:val="000080"/>
          <w:sz w:val="20"/>
          <w:szCs w:val="20"/>
          <w:rtl/>
          <w:lang w:bidi="ar-EG"/>
        </w:rPr>
        <w:t>القسم الأول:</w:t>
      </w:r>
      <w:r w:rsidRPr="00B074A3">
        <w:rPr>
          <w:rFonts w:asciiTheme="majorBidi" w:hAnsiTheme="majorBidi" w:cstheme="majorBidi"/>
          <w:b/>
          <w:bCs/>
          <w:sz w:val="20"/>
          <w:szCs w:val="20"/>
          <w:rtl/>
          <w:lang w:bidi="ar-EG"/>
        </w:rPr>
        <w:t xml:space="preserve"> ما جاء موافقًا لما في كتاب</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الله </w:t>
      </w:r>
      <w:r w:rsidRPr="00B074A3">
        <w:rPr>
          <w:rFonts w:asciiTheme="majorBidi" w:hAnsiTheme="majorBidi" w:cstheme="majorBidi"/>
          <w:b/>
          <w:bCs/>
          <w:position w:val="-4"/>
          <w:sz w:val="20"/>
          <w:szCs w:val="20"/>
          <w:lang w:bidi="ar-EG"/>
        </w:rPr>
        <w:t></w:t>
      </w:r>
      <w:r w:rsidRPr="00B074A3">
        <w:rPr>
          <w:rFonts w:asciiTheme="majorBidi" w:hAnsiTheme="majorBidi" w:cstheme="majorBidi"/>
          <w:b/>
          <w:bCs/>
          <w:sz w:val="20"/>
          <w:szCs w:val="20"/>
          <w:rtl/>
          <w:lang w:bidi="ar-EG"/>
        </w:rPr>
        <w:t xml:space="preserve"> لما في قرآن ربنا، فهذا نؤمن به ونصدقه، مثال ذلك: ما رواه البخاري عن</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عطاء بن يسار قال: لقيت عبد الله بن عمرو فقلت: أخبرني عن صفة رسول الله </w:t>
      </w:r>
      <w:r w:rsidR="002A2B1F">
        <w:rPr>
          <w:rFonts w:asciiTheme="majorBidi" w:hAnsiTheme="majorBidi" w:cstheme="majorBidi"/>
          <w:b/>
          <w:bCs/>
          <w:position w:val="-4"/>
          <w:sz w:val="20"/>
          <w:szCs w:val="20"/>
          <w:rtl/>
          <w:lang w:bidi="ar-EG"/>
        </w:rPr>
        <w:t>صلى الله عليه وسلم</w:t>
      </w:r>
      <w:r w:rsidRPr="00B074A3">
        <w:rPr>
          <w:rFonts w:asciiTheme="majorBidi" w:hAnsiTheme="majorBidi" w:cstheme="majorBidi"/>
          <w:b/>
          <w:bCs/>
          <w:sz w:val="20"/>
          <w:szCs w:val="20"/>
          <w:rtl/>
          <w:lang w:bidi="ar-EG"/>
        </w:rPr>
        <w:t xml:space="preserve"> في التوراة. قال</w:t>
      </w:r>
      <w:r w:rsidRPr="00B074A3">
        <w:rPr>
          <w:rFonts w:asciiTheme="majorBidi" w:hAnsiTheme="majorBidi" w:cstheme="majorBidi"/>
          <w:b/>
          <w:bCs/>
          <w:sz w:val="20"/>
          <w:szCs w:val="20"/>
          <w:rtl/>
        </w:rPr>
        <w:t>: "</w:t>
      </w:r>
      <w:r w:rsidRPr="00B074A3">
        <w:rPr>
          <w:rFonts w:asciiTheme="majorBidi" w:hAnsiTheme="majorBidi" w:cstheme="majorBidi"/>
          <w:b/>
          <w:bCs/>
          <w:sz w:val="20"/>
          <w:szCs w:val="20"/>
          <w:rtl/>
          <w:lang w:bidi="ar-EG"/>
        </w:rPr>
        <w:t>والله إنه لموصوف في التوراة كصفته في القرآن: يا أيها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النبي إنا أرسلناك شاهدًا ومبشرًا ونذيرًا، وحرزًا للأميين، أنت عبدي ورسولي، سميتك</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المتوكل، ليس بفظ، ولا غليظ، ولا صخَّاب في الأسواق، ولا يجزي بالسيئة السيئة، ولكن يعفو</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ويصفح، ولن يقبضه الله حتى يقيم به الملة العوجاء بأن يقولوا: لا إله إلا الله، ويفتح به</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قلوبًا غلفًا، وآذانًا صمًّا، وأعينًا عميًا</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lastRenderedPageBreak/>
        <w:t>قال عطاء: ثم لقيت كعبًا، فسألته عن ذلك، فما اختلفا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حرفًا إلا أن كعبًا قال بلغته</w:t>
      </w:r>
      <w:r w:rsidRPr="00B074A3">
        <w:rPr>
          <w:rFonts w:asciiTheme="majorBidi" w:hAnsiTheme="majorBidi" w:cstheme="majorBidi"/>
          <w:b/>
          <w:bCs/>
          <w:sz w:val="20"/>
          <w:szCs w:val="20"/>
          <w:rtl/>
        </w:rPr>
        <w:t>: "</w:t>
      </w:r>
      <w:r w:rsidRPr="00B074A3">
        <w:rPr>
          <w:rFonts w:asciiTheme="majorBidi" w:hAnsiTheme="majorBidi" w:cstheme="majorBidi"/>
          <w:b/>
          <w:bCs/>
          <w:sz w:val="20"/>
          <w:szCs w:val="20"/>
          <w:rtl/>
          <w:lang w:bidi="ar-EG"/>
        </w:rPr>
        <w:t>قلوبيًّا غلوفيًّا، وآذانًا صمميًّا، وأعينًا عمميًّا</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color w:val="000080"/>
          <w:sz w:val="20"/>
          <w:szCs w:val="20"/>
          <w:rtl/>
          <w:lang w:bidi="ar-EG"/>
        </w:rPr>
        <w:t>القسم الثاني:</w:t>
      </w:r>
      <w:r w:rsidRPr="00B074A3">
        <w:rPr>
          <w:rFonts w:asciiTheme="majorBidi" w:hAnsiTheme="majorBidi" w:cstheme="majorBidi"/>
          <w:b/>
          <w:bCs/>
          <w:sz w:val="20"/>
          <w:szCs w:val="20"/>
          <w:rtl/>
          <w:lang w:bidi="ar-EG"/>
        </w:rPr>
        <w:t xml:space="preserve"> ما جاء عنهم مخالفًا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في شريعتنا، مثل الروايات التي تنص على أن الله لما فرغ من الخلق استراح في اليوم</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السابع، والتي تذكر أن الرب حَزِنَ؛ لأنه عمل الإنسان في الأرض، وأنه تأسَّف في قلبه لما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كثرت ذنوب الإنسان، ومثلما ورد في شرب نوحٍ الخمر، فسكِر وتعرى، وما ورد في شأن لوط</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وأنه زنا بابنتيه وحملَا وأنجبَا!! كل هذه الأكاذيب والخرافات</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والأباطيل لا يمكن أن يقبلها عقل، ولا يتصور أنها ترد في شرع</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sz w:val="20"/>
          <w:szCs w:val="20"/>
          <w:rtl/>
          <w:lang w:bidi="ar-EG"/>
        </w:rPr>
        <w:t>هذا القسم ينافي عقيدة</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الإسلام والمسلمين؛ ولذلك فهو مرفوض مردود في وجه صاحبه إلى أن يلقى ربه فيجازيه بما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هو أهله من الخزي المقيم، والهوان العظيم</w:t>
      </w:r>
      <w:r w:rsidRPr="00B074A3">
        <w:rPr>
          <w:rFonts w:asciiTheme="majorBidi" w:hAnsiTheme="majorBidi" w:cstheme="majorBidi"/>
          <w:b/>
          <w:bCs/>
          <w:sz w:val="20"/>
          <w:szCs w:val="20"/>
          <w:rtl/>
        </w:rPr>
        <w:t xml:space="preserve">.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Pr>
      </w:pPr>
      <w:r w:rsidRPr="00B074A3">
        <w:rPr>
          <w:rFonts w:asciiTheme="majorBidi" w:hAnsiTheme="majorBidi" w:cstheme="majorBidi"/>
          <w:b/>
          <w:bCs/>
          <w:color w:val="000080"/>
          <w:sz w:val="20"/>
          <w:szCs w:val="20"/>
          <w:rtl/>
          <w:lang w:bidi="ar-EG"/>
        </w:rPr>
        <w:t>القسم الثالث:</w:t>
      </w:r>
      <w:r w:rsidRPr="00B074A3">
        <w:rPr>
          <w:rFonts w:asciiTheme="majorBidi" w:hAnsiTheme="majorBidi" w:cstheme="majorBidi"/>
          <w:b/>
          <w:bCs/>
          <w:sz w:val="20"/>
          <w:szCs w:val="20"/>
          <w:rtl/>
          <w:lang w:bidi="ar-EG"/>
        </w:rPr>
        <w:t xml:space="preserve"> لا يأتي موافقًا،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ولا مخالفًا،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إنما هو مسكوت عنه، لا دليل عليه في شرعنا يؤيد صدقه، ولا برهان في ديننا ينص على كذبه وإنكاره،</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مثال ذلك ما يروى عن اسم الرجل الذي مر على قرية وهي خاوية على عروشها، وعن عدد</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الذين أحياهم عيسى ابن مريم بإذن الله سبحانه وأسمائهم، أو عن أنواع الطعام</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التي كانت على مائدة عيسى </w:t>
      </w:r>
      <w:r w:rsidRPr="00B074A3">
        <w:rPr>
          <w:rFonts w:asciiTheme="majorBidi" w:hAnsiTheme="majorBidi" w:cstheme="majorBidi"/>
          <w:b/>
          <w:bCs/>
          <w:position w:val="-4"/>
          <w:sz w:val="20"/>
          <w:szCs w:val="20"/>
          <w:rtl/>
          <w:lang w:bidi="ar-EG"/>
        </w:rPr>
        <w:t>#</w:t>
      </w:r>
      <w:r w:rsidRPr="00B074A3">
        <w:rPr>
          <w:rFonts w:asciiTheme="majorBidi" w:hAnsiTheme="majorBidi" w:cstheme="majorBidi"/>
          <w:b/>
          <w:bCs/>
          <w:sz w:val="20"/>
          <w:szCs w:val="20"/>
          <w:rtl/>
          <w:lang w:bidi="ar-EG"/>
        </w:rPr>
        <w:t xml:space="preserve"> أو عن البعض في البقرة الذي ضُرِبَ به قتيل بني</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إسرائيل، كما قال ربنا</w:t>
      </w:r>
      <w:r w:rsidRPr="00B074A3">
        <w:rPr>
          <w:rFonts w:asciiTheme="majorBidi" w:hAnsiTheme="majorBidi" w:cstheme="majorBidi"/>
          <w:b/>
          <w:bCs/>
          <w:sz w:val="20"/>
          <w:szCs w:val="20"/>
          <w:rtl/>
        </w:rPr>
        <w:t xml:space="preserve">: </w:t>
      </w:r>
      <w:r w:rsidRPr="00B074A3">
        <w:rPr>
          <w:rFonts w:ascii="Tahoma" w:hAnsi="Tahoma" w:cs="DecoType Thuluth" w:hint="cs"/>
          <w:color w:val="008000"/>
          <w:sz w:val="20"/>
          <w:szCs w:val="20"/>
          <w:rtl/>
        </w:rPr>
        <w:t>{</w:t>
      </w:r>
      <w:r w:rsidRPr="00B074A3">
        <w:rPr>
          <w:rFonts w:ascii="QCF_P011" w:hAnsi="QCF_P011" w:cs="QCF_P011"/>
          <w:color w:val="008000"/>
          <w:sz w:val="20"/>
          <w:szCs w:val="20"/>
          <w:rtl/>
        </w:rPr>
        <w:t>ﮊ ﮋ ﮌ</w:t>
      </w:r>
      <w:r w:rsidRPr="00B074A3">
        <w:rPr>
          <w:rFonts w:ascii="QCF_P011" w:hAnsi="QCF_P011" w:cs="DecoType Thuluth"/>
          <w:color w:val="008000"/>
          <w:sz w:val="20"/>
          <w:szCs w:val="20"/>
          <w:rtl/>
        </w:rPr>
        <w:t>}</w:t>
      </w:r>
      <w:r w:rsidRPr="00B074A3">
        <w:rPr>
          <w:rFonts w:ascii="Tahoma" w:hAnsi="Tahoma" w:cs="AL-Hotham" w:hint="cs"/>
          <w:color w:val="008000"/>
          <w:sz w:val="20"/>
          <w:szCs w:val="20"/>
          <w:rtl/>
        </w:rPr>
        <w:t xml:space="preserve"> </w:t>
      </w:r>
      <w:r w:rsidRPr="00B074A3">
        <w:rPr>
          <w:rFonts w:asciiTheme="majorBidi" w:hAnsiTheme="majorBidi" w:cstheme="majorBidi"/>
          <w:b/>
          <w:bCs/>
          <w:sz w:val="20"/>
          <w:szCs w:val="20"/>
          <w:rtl/>
        </w:rPr>
        <w:t xml:space="preserve">[البقرة: 74]. </w:t>
      </w:r>
    </w:p>
    <w:p w:rsidR="00B074A3" w:rsidRPr="00B074A3" w:rsidRDefault="00B074A3" w:rsidP="00B074A3">
      <w:pPr>
        <w:pStyle w:val="a3"/>
        <w:bidi/>
        <w:spacing w:before="0" w:beforeAutospacing="0" w:after="120" w:afterAutospacing="0"/>
        <w:jc w:val="lowKashida"/>
        <w:rPr>
          <w:rFonts w:asciiTheme="majorBidi" w:hAnsiTheme="majorBidi" w:cstheme="majorBidi"/>
          <w:b/>
          <w:bCs/>
          <w:sz w:val="20"/>
          <w:szCs w:val="20"/>
          <w:rtl/>
        </w:rPr>
      </w:pPr>
      <w:r w:rsidRPr="00B074A3">
        <w:rPr>
          <w:rFonts w:asciiTheme="majorBidi" w:hAnsiTheme="majorBidi" w:cstheme="majorBidi"/>
          <w:b/>
          <w:bCs/>
          <w:sz w:val="20"/>
          <w:szCs w:val="20"/>
          <w:rtl/>
          <w:lang w:bidi="ar-EG"/>
        </w:rPr>
        <w:t>هذه الأمور لم تُقيد، ولم تفصل عندنا،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فغالب ذلك -كما يقول شيخ الإسلام ابن تيمية في (مقدمة أصول التفسير) له،: هذا مما</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لا فائدة فيه تعود إلى أمر ديني، فهذا القسم يتوقف في الحكم عليه، فلا نصدقه، ربما كان</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كذبًا، ولا نكذبه ربما كان حقًّا. التوقف هنا أولى لعدم وجود دليل بين يبين صدقه أو</w:t>
      </w:r>
      <w:r w:rsidRPr="00B074A3">
        <w:rPr>
          <w:rFonts w:asciiTheme="majorBidi" w:hAnsiTheme="majorBidi" w:cstheme="majorBidi"/>
          <w:b/>
          <w:bCs/>
          <w:sz w:val="20"/>
          <w:szCs w:val="20"/>
          <w:rtl/>
        </w:rPr>
        <w:t xml:space="preserve"> </w:t>
      </w:r>
      <w:r w:rsidRPr="00B074A3">
        <w:rPr>
          <w:rFonts w:asciiTheme="majorBidi" w:hAnsiTheme="majorBidi" w:cstheme="majorBidi"/>
          <w:b/>
          <w:bCs/>
          <w:sz w:val="20"/>
          <w:szCs w:val="20"/>
          <w:rtl/>
          <w:lang w:bidi="ar-EG"/>
        </w:rPr>
        <w:t xml:space="preserve">كذبه، وهذا يتفق مع منهج رسول الله </w:t>
      </w:r>
      <w:r w:rsidR="002A2B1F">
        <w:rPr>
          <w:rFonts w:asciiTheme="majorBidi" w:hAnsiTheme="majorBidi" w:cstheme="majorBidi"/>
          <w:b/>
          <w:bCs/>
          <w:position w:val="-4"/>
          <w:sz w:val="20"/>
          <w:szCs w:val="20"/>
          <w:rtl/>
          <w:lang w:bidi="ar-EG"/>
        </w:rPr>
        <w:t>صلى الله عليه وسلم</w:t>
      </w:r>
      <w:r w:rsidRPr="00B074A3">
        <w:rPr>
          <w:rFonts w:asciiTheme="majorBidi" w:hAnsiTheme="majorBidi" w:cstheme="majorBidi"/>
          <w:b/>
          <w:bCs/>
          <w:sz w:val="20"/>
          <w:szCs w:val="20"/>
          <w:rtl/>
          <w:lang w:bidi="ar-EG"/>
        </w:rPr>
        <w:t xml:space="preserve"> عندما وجَّه الأمة فقال</w:t>
      </w:r>
      <w:r w:rsidRPr="00B074A3">
        <w:rPr>
          <w:rFonts w:asciiTheme="majorBidi" w:hAnsiTheme="majorBidi" w:cstheme="majorBidi"/>
          <w:b/>
          <w:bCs/>
          <w:sz w:val="20"/>
          <w:szCs w:val="20"/>
          <w:rtl/>
        </w:rPr>
        <w:t xml:space="preserve">: </w:t>
      </w:r>
      <w:r w:rsidRPr="00B074A3">
        <w:rPr>
          <w:rFonts w:asciiTheme="majorBidi" w:hAnsiTheme="majorBidi" w:cstheme="majorBidi"/>
          <w:b/>
          <w:bCs/>
          <w:color w:val="0000FF"/>
          <w:sz w:val="20"/>
          <w:szCs w:val="20"/>
          <w:rtl/>
        </w:rPr>
        <w:t>((</w:t>
      </w:r>
      <w:r w:rsidRPr="00B074A3">
        <w:rPr>
          <w:rFonts w:asciiTheme="majorBidi" w:hAnsiTheme="majorBidi" w:cstheme="majorBidi"/>
          <w:b/>
          <w:bCs/>
          <w:color w:val="0000FF"/>
          <w:sz w:val="20"/>
          <w:szCs w:val="20"/>
          <w:rtl/>
          <w:lang w:bidi="ar-EG"/>
        </w:rPr>
        <w:t>لا</w:t>
      </w:r>
      <w:r w:rsidRPr="00B074A3">
        <w:rPr>
          <w:rFonts w:asciiTheme="majorBidi" w:hAnsiTheme="majorBidi" w:cstheme="majorBidi"/>
          <w:b/>
          <w:bCs/>
          <w:color w:val="0000FF"/>
          <w:sz w:val="20"/>
          <w:szCs w:val="20"/>
          <w:rtl/>
        </w:rPr>
        <w:t xml:space="preserve"> </w:t>
      </w:r>
      <w:r w:rsidRPr="00B074A3">
        <w:rPr>
          <w:rFonts w:asciiTheme="majorBidi" w:hAnsiTheme="majorBidi" w:cstheme="majorBidi"/>
          <w:b/>
          <w:bCs/>
          <w:color w:val="0000FF"/>
          <w:sz w:val="20"/>
          <w:szCs w:val="20"/>
          <w:rtl/>
          <w:lang w:bidi="ar-EG"/>
        </w:rPr>
        <w:t>تصدقوا أهل الكتاب، ولا تكذبوهم، وقولوا: آمنا بالله وما أنزل إلينا</w:t>
      </w:r>
      <w:r w:rsidRPr="00B074A3">
        <w:rPr>
          <w:rFonts w:asciiTheme="majorBidi" w:hAnsiTheme="majorBidi" w:cstheme="majorBidi"/>
          <w:b/>
          <w:bCs/>
          <w:color w:val="0000FF"/>
          <w:sz w:val="20"/>
          <w:szCs w:val="20"/>
          <w:rtl/>
        </w:rPr>
        <w:t>))</w:t>
      </w:r>
      <w:r w:rsidRPr="00B074A3">
        <w:rPr>
          <w:rFonts w:asciiTheme="majorBidi" w:hAnsiTheme="majorBidi" w:cstheme="majorBidi"/>
          <w:b/>
          <w:bCs/>
          <w:sz w:val="20"/>
          <w:szCs w:val="20"/>
          <w:rtl/>
        </w:rPr>
        <w:t>.</w:t>
      </w:r>
    </w:p>
    <w:p w:rsidR="002A2B1F" w:rsidRDefault="002A2B1F" w:rsidP="00B074A3">
      <w:pPr>
        <w:spacing w:after="120" w:line="240" w:lineRule="auto"/>
        <w:jc w:val="center"/>
        <w:rPr>
          <w:rFonts w:asciiTheme="majorBidi" w:hAnsiTheme="majorBidi" w:cstheme="majorBidi"/>
          <w:b/>
          <w:bCs/>
          <w:sz w:val="20"/>
          <w:szCs w:val="20"/>
          <w:rtl/>
        </w:rPr>
      </w:pPr>
    </w:p>
    <w:p w:rsidR="002A2B1F" w:rsidRDefault="002A2B1F" w:rsidP="00B074A3">
      <w:pPr>
        <w:spacing w:after="120" w:line="240" w:lineRule="auto"/>
        <w:jc w:val="center"/>
        <w:rPr>
          <w:rFonts w:asciiTheme="majorBidi" w:hAnsiTheme="majorBidi" w:cstheme="majorBidi"/>
          <w:b/>
          <w:bCs/>
          <w:sz w:val="20"/>
          <w:szCs w:val="20"/>
          <w:rtl/>
        </w:rPr>
      </w:pPr>
    </w:p>
    <w:p w:rsidR="00B074A3" w:rsidRPr="00B074A3" w:rsidRDefault="00B074A3" w:rsidP="00B074A3">
      <w:pPr>
        <w:spacing w:after="120" w:line="240" w:lineRule="auto"/>
        <w:jc w:val="center"/>
        <w:rPr>
          <w:rFonts w:asciiTheme="majorBidi" w:hAnsiTheme="majorBidi" w:cstheme="majorBidi"/>
          <w:b/>
          <w:bCs/>
          <w:sz w:val="20"/>
          <w:szCs w:val="20"/>
          <w:rtl/>
        </w:rPr>
      </w:pPr>
      <w:r w:rsidRPr="00B074A3">
        <w:rPr>
          <w:rFonts w:asciiTheme="majorBidi" w:hAnsiTheme="majorBidi" w:cstheme="majorBidi"/>
          <w:b/>
          <w:bCs/>
          <w:sz w:val="20"/>
          <w:szCs w:val="20"/>
          <w:rtl/>
        </w:rPr>
        <w:lastRenderedPageBreak/>
        <w:t>المصادر والمراجع</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tl/>
        </w:rPr>
      </w:pPr>
      <w:r w:rsidRPr="00B074A3">
        <w:rPr>
          <w:rFonts w:asciiTheme="majorBidi" w:hAnsiTheme="majorBidi" w:cstheme="majorBidi"/>
          <w:b/>
          <w:bCs/>
          <w:sz w:val="20"/>
          <w:szCs w:val="20"/>
          <w:rtl/>
        </w:rPr>
        <w:t>المحمدي عبد الرحمن، (الدخيل في التفسير) ، القاهرة،  جامعة الأزهر، مطبعة حسان، 2009م.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tl/>
        </w:rPr>
      </w:pPr>
      <w:r w:rsidRPr="00B074A3">
        <w:rPr>
          <w:rFonts w:asciiTheme="majorBidi" w:hAnsiTheme="majorBidi" w:cstheme="majorBidi"/>
          <w:b/>
          <w:bCs/>
          <w:sz w:val="20"/>
          <w:szCs w:val="20"/>
          <w:rtl/>
        </w:rPr>
        <w:t>الذهبي، محمد حسين الذهبي،  (التفسير والمفسرون) ، طبعة دار الأرقم، 1999م.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الذهبي، محمد حسين الذهبي،  (الإسرائيليات في التفسير والحديث) ، طبعة مكتبة وهبة، 1990م.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 xml:space="preserve">شليوه، سمير شليوه،  (الدخيل والإسرائيليات) ، القاهرة، جامعة الأزهر </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الشهرستاني، محمد بن عبد الكريم الشهرستاني،  (الملل والنحل) ، طبعة دار الفكر، 2001م.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محمد الخضر حسين، (البابية أو البهائية) ،مجمع البحوث الإسلامية</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tl/>
        </w:rPr>
      </w:pPr>
      <w:r w:rsidRPr="00B074A3">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B074A3" w:rsidRPr="00B074A3" w:rsidRDefault="00B074A3" w:rsidP="00B074A3">
      <w:pPr>
        <w:numPr>
          <w:ilvl w:val="0"/>
          <w:numId w:val="2"/>
        </w:numPr>
        <w:spacing w:after="120" w:line="240" w:lineRule="auto"/>
        <w:jc w:val="both"/>
        <w:rPr>
          <w:rFonts w:asciiTheme="majorBidi" w:hAnsiTheme="majorBidi" w:cstheme="majorBidi"/>
          <w:b/>
          <w:bCs/>
          <w:sz w:val="20"/>
          <w:szCs w:val="20"/>
        </w:rPr>
      </w:pPr>
      <w:r w:rsidRPr="00B074A3">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B074A3" w:rsidRPr="00B074A3" w:rsidRDefault="00B074A3" w:rsidP="00B074A3">
      <w:pPr>
        <w:rPr>
          <w:i/>
          <w:iCs/>
          <w:sz w:val="20"/>
          <w:szCs w:val="20"/>
          <w:rtl/>
        </w:rPr>
        <w:sectPr w:rsidR="00B074A3" w:rsidRPr="00B074A3" w:rsidSect="00B074A3">
          <w:type w:val="continuous"/>
          <w:pgSz w:w="11906" w:h="16838"/>
          <w:pgMar w:top="964" w:right="1021" w:bottom="964" w:left="1021" w:header="709" w:footer="709" w:gutter="0"/>
          <w:cols w:num="2" w:space="708"/>
          <w:bidi/>
          <w:rtlGutter/>
          <w:docGrid w:linePitch="360"/>
        </w:sectPr>
      </w:pPr>
    </w:p>
    <w:p w:rsidR="00B074A3" w:rsidRPr="00B074A3" w:rsidRDefault="00B074A3" w:rsidP="00B074A3">
      <w:pPr>
        <w:rPr>
          <w:i/>
          <w:iCs/>
          <w:sz w:val="20"/>
          <w:szCs w:val="20"/>
        </w:rPr>
      </w:pPr>
    </w:p>
    <w:sectPr w:rsidR="00B074A3" w:rsidRPr="00B074A3" w:rsidSect="00B074A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39">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5A8D70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074A3"/>
    <w:rsid w:val="002A2B1F"/>
    <w:rsid w:val="002C39A8"/>
    <w:rsid w:val="00332661"/>
    <w:rsid w:val="00514443"/>
    <w:rsid w:val="007C2FB0"/>
    <w:rsid w:val="009556CB"/>
    <w:rsid w:val="00B074A3"/>
    <w:rsid w:val="00BD6104"/>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074A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074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074A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2013-06-19T08:38:00Z</dcterms:created>
  <dcterms:modified xsi:type="dcterms:W3CDTF">2013-06-26T08:07:00Z</dcterms:modified>
</cp:coreProperties>
</file>