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CA" w:rsidRPr="00DD6B83" w:rsidRDefault="00D727CA" w:rsidP="00DD6B83">
      <w:pPr>
        <w:spacing w:line="240" w:lineRule="auto"/>
        <w:jc w:val="center"/>
        <w:rPr>
          <w:i/>
          <w:iCs/>
          <w:rtl/>
        </w:rPr>
      </w:pPr>
      <w:r w:rsidRPr="00D727CA">
        <w:rPr>
          <w:rFonts w:asciiTheme="majorBidi" w:eastAsia="Calibri" w:hAnsiTheme="majorBidi" w:cstheme="majorBidi"/>
          <w:i/>
          <w:iCs/>
          <w:sz w:val="48"/>
          <w:szCs w:val="48"/>
          <w:rtl/>
        </w:rPr>
        <w:t>الأحاديث الموضوعة في فضائل سور القرآن</w:t>
      </w:r>
      <w:r w:rsidR="00DD6B83">
        <w:rPr>
          <w:rFonts w:asciiTheme="majorBidi" w:eastAsia="Calibri" w:hAnsiTheme="majorBidi" w:cstheme="majorBidi" w:hint="cs"/>
          <w:i/>
          <w:iCs/>
          <w:sz w:val="48"/>
          <w:szCs w:val="48"/>
          <w:rtl/>
        </w:rPr>
        <w:t xml:space="preserve"> </w:t>
      </w:r>
      <w:r w:rsidRPr="00D727CA">
        <w:rPr>
          <w:rFonts w:hint="cs"/>
          <w:i/>
          <w:iCs/>
          <w:sz w:val="48"/>
          <w:szCs w:val="48"/>
          <w:rtl/>
        </w:rPr>
        <w:t>(1)</w:t>
      </w:r>
    </w:p>
    <w:p w:rsidR="00D727CA" w:rsidRPr="009264EA" w:rsidRDefault="00D727CA" w:rsidP="00D727CA">
      <w:pPr>
        <w:pStyle w:val="papersubtitle"/>
        <w:bidi/>
        <w:rPr>
          <w:i/>
          <w:iCs/>
          <w:rtl/>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الدخيل فى التفسير</w:t>
      </w:r>
    </w:p>
    <w:p w:rsidR="00D727CA" w:rsidRPr="009264EA" w:rsidRDefault="00D727CA" w:rsidP="00DD6B83">
      <w:pPr>
        <w:pStyle w:val="papersubtitle"/>
        <w:bidi/>
        <w:rPr>
          <w:i/>
          <w:iCs/>
          <w:sz w:val="24"/>
          <w:szCs w:val="24"/>
          <w:lang w:bidi="ar-EG"/>
        </w:rPr>
      </w:pPr>
      <w:r w:rsidRPr="009264EA">
        <w:rPr>
          <w:i/>
          <w:iCs/>
          <w:sz w:val="24"/>
          <w:szCs w:val="24"/>
          <w:rtl/>
        </w:rPr>
        <w:t xml:space="preserve">إعداد أ/ </w:t>
      </w:r>
      <w:r w:rsidR="00DD6B83" w:rsidRPr="00DD6B83">
        <w:rPr>
          <w:i/>
          <w:iCs/>
          <w:sz w:val="24"/>
          <w:szCs w:val="24"/>
          <w:rtl/>
          <w:lang w:bidi="ar-EG"/>
        </w:rPr>
        <w:t>أحمد عبد الحميد مهدي</w:t>
      </w:r>
    </w:p>
    <w:p w:rsidR="00D727CA" w:rsidRPr="009264EA" w:rsidRDefault="00D727CA" w:rsidP="00D727CA">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D727CA" w:rsidRPr="009264EA" w:rsidRDefault="00D727CA" w:rsidP="00D727CA">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D727CA" w:rsidRPr="009264EA" w:rsidRDefault="00D727CA" w:rsidP="00D727CA">
      <w:pPr>
        <w:pStyle w:val="papersubtitle"/>
        <w:bidi/>
        <w:rPr>
          <w:i/>
          <w:iCs/>
          <w:sz w:val="22"/>
          <w:szCs w:val="22"/>
          <w:rtl/>
        </w:rPr>
      </w:pPr>
      <w:r w:rsidRPr="009264EA">
        <w:rPr>
          <w:i/>
          <w:iCs/>
          <w:sz w:val="22"/>
          <w:szCs w:val="22"/>
          <w:rtl/>
        </w:rPr>
        <w:t>شاه علم – ماليزيا</w:t>
      </w:r>
    </w:p>
    <w:p w:rsidR="00D727CA" w:rsidRDefault="00DD6B83" w:rsidP="00D727CA">
      <w:pPr>
        <w:spacing w:line="240" w:lineRule="auto"/>
        <w:jc w:val="center"/>
        <w:rPr>
          <w:rFonts w:ascii="Calibri" w:hAnsi="Calibri" w:cs="AL-Mateen"/>
          <w:sz w:val="32"/>
          <w:szCs w:val="32"/>
          <w:lang w:bidi="ar-EG"/>
        </w:rPr>
      </w:pPr>
      <w:r w:rsidRPr="00DD6B83">
        <w:rPr>
          <w:rFonts w:asciiTheme="majorBidi" w:hAnsiTheme="majorBidi" w:cs="AL-Hotham"/>
          <w:i/>
          <w:iCs/>
          <w:lang w:bidi="ar-EG"/>
        </w:rPr>
        <w:t>ahmed.mahdey@mediu.ws</w:t>
      </w:r>
    </w:p>
    <w:p w:rsidR="00D727CA" w:rsidRDefault="00D727CA" w:rsidP="00D727CA">
      <w:pPr>
        <w:spacing w:after="120"/>
        <w:rPr>
          <w:rFonts w:asciiTheme="majorBidi" w:hAnsiTheme="majorBidi" w:cstheme="majorBidi"/>
          <w:b/>
          <w:bCs/>
          <w:sz w:val="20"/>
          <w:szCs w:val="20"/>
          <w:rtl/>
        </w:rPr>
        <w:sectPr w:rsidR="00D727CA" w:rsidSect="00BF7572">
          <w:pgSz w:w="11906" w:h="16838"/>
          <w:pgMar w:top="964" w:right="1021" w:bottom="964" w:left="1021" w:header="709" w:footer="709" w:gutter="0"/>
          <w:cols w:space="708"/>
          <w:bidi/>
          <w:rtlGutter/>
          <w:docGrid w:linePitch="360"/>
        </w:sectPr>
      </w:pPr>
    </w:p>
    <w:p w:rsidR="00D727CA" w:rsidRPr="00E5161B" w:rsidRDefault="00D727CA" w:rsidP="00D727CA">
      <w:pPr>
        <w:spacing w:after="120"/>
        <w:rPr>
          <w:rFonts w:asciiTheme="majorBidi" w:hAnsiTheme="majorBidi" w:cstheme="majorBidi"/>
          <w:b/>
          <w:bCs/>
          <w:sz w:val="20"/>
          <w:szCs w:val="20"/>
          <w:rtl/>
        </w:rPr>
      </w:pPr>
      <w:r w:rsidRPr="00E5161B">
        <w:rPr>
          <w:rFonts w:asciiTheme="majorBidi" w:hAnsiTheme="majorBidi" w:cstheme="majorBidi"/>
          <w:b/>
          <w:bCs/>
          <w:sz w:val="20"/>
          <w:szCs w:val="20"/>
          <w:rtl/>
        </w:rPr>
        <w:lastRenderedPageBreak/>
        <w:t xml:space="preserve">خلاصة ـــ هذا البحث يبحث في </w:t>
      </w:r>
      <w:r w:rsidRPr="00E5161B">
        <w:rPr>
          <w:rFonts w:asciiTheme="majorBidi" w:eastAsia="Calibri" w:hAnsiTheme="majorBidi" w:cstheme="majorBidi"/>
          <w:b/>
          <w:bCs/>
          <w:sz w:val="20"/>
          <w:szCs w:val="20"/>
          <w:rtl/>
        </w:rPr>
        <w:t>الأحاديث الموضوعة في فضائل سور القرآن</w:t>
      </w:r>
    </w:p>
    <w:p w:rsidR="00D727CA" w:rsidRPr="00E5161B" w:rsidRDefault="00D727CA" w:rsidP="00D727CA">
      <w:pPr>
        <w:spacing w:after="120"/>
        <w:rPr>
          <w:rFonts w:asciiTheme="majorBidi" w:hAnsiTheme="majorBidi" w:cstheme="majorBidi"/>
          <w:b/>
          <w:bCs/>
          <w:sz w:val="20"/>
          <w:szCs w:val="20"/>
          <w:rtl/>
          <w:lang w:bidi="ar-EG"/>
        </w:rPr>
      </w:pPr>
      <w:r w:rsidRPr="00E5161B">
        <w:rPr>
          <w:rFonts w:asciiTheme="majorBidi" w:hAnsiTheme="majorBidi" w:cstheme="majorBidi"/>
          <w:b/>
          <w:bCs/>
          <w:sz w:val="20"/>
          <w:szCs w:val="20"/>
          <w:rtl/>
        </w:rPr>
        <w:t xml:space="preserve">الكلمات المفتاحية : المجال ، الأحاديث ، التفسير </w:t>
      </w:r>
    </w:p>
    <w:p w:rsidR="00D727CA" w:rsidRPr="00E5161B" w:rsidRDefault="00D727CA" w:rsidP="00D727CA">
      <w:pPr>
        <w:pStyle w:val="a4"/>
        <w:numPr>
          <w:ilvl w:val="0"/>
          <w:numId w:val="1"/>
        </w:numPr>
        <w:spacing w:after="120" w:line="276" w:lineRule="auto"/>
        <w:jc w:val="center"/>
        <w:rPr>
          <w:rFonts w:asciiTheme="majorBidi" w:hAnsiTheme="majorBidi" w:cstheme="majorBidi"/>
          <w:b/>
          <w:bCs/>
          <w:sz w:val="20"/>
          <w:szCs w:val="20"/>
          <w:rtl/>
        </w:rPr>
      </w:pPr>
      <w:r w:rsidRPr="00E5161B">
        <w:rPr>
          <w:rFonts w:asciiTheme="majorBidi" w:hAnsiTheme="majorBidi" w:cstheme="majorBidi"/>
          <w:b/>
          <w:bCs/>
          <w:sz w:val="20"/>
          <w:szCs w:val="20"/>
          <w:rtl/>
        </w:rPr>
        <w:t>المقدمة</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E5161B">
        <w:rPr>
          <w:rFonts w:asciiTheme="majorBidi" w:eastAsia="Calibri" w:hAnsiTheme="majorBidi" w:cstheme="majorBidi"/>
          <w:b/>
          <w:bCs/>
          <w:sz w:val="20"/>
          <w:szCs w:val="20"/>
          <w:rtl/>
        </w:rPr>
        <w:t>الأحاديث الموضوعة في فضائل سور القرآن</w:t>
      </w:r>
    </w:p>
    <w:p w:rsidR="00D727CA" w:rsidRPr="00E5161B" w:rsidRDefault="00D727CA" w:rsidP="00D727CA">
      <w:pPr>
        <w:pStyle w:val="a3"/>
        <w:numPr>
          <w:ilvl w:val="0"/>
          <w:numId w:val="1"/>
        </w:numPr>
        <w:bidi/>
        <w:spacing w:before="0" w:beforeAutospacing="0" w:after="120" w:afterAutospacing="0" w:line="276" w:lineRule="auto"/>
        <w:jc w:val="center"/>
        <w:rPr>
          <w:rFonts w:asciiTheme="majorBidi" w:hAnsiTheme="majorBidi" w:cstheme="majorBidi"/>
          <w:b/>
          <w:bCs/>
          <w:sz w:val="20"/>
          <w:szCs w:val="20"/>
          <w:rtl/>
        </w:rPr>
      </w:pPr>
      <w:r w:rsidRPr="00E5161B">
        <w:rPr>
          <w:rFonts w:asciiTheme="majorBidi" w:hAnsiTheme="majorBidi" w:cstheme="majorBidi"/>
          <w:b/>
          <w:bCs/>
          <w:sz w:val="20"/>
          <w:szCs w:val="20"/>
          <w:rtl/>
        </w:rPr>
        <w:t>عنوان المقال</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ولشيخنا الشيخ أبو شهبة في هذا المجال نقل عن عمر بن الخطاب وعن علمائنا ورجالنا، يحذرونا أشد التحذير من رواية هذه الأحاديث الموضوعة؛ لأنها تفسد عقائد الأمة وتؤثر في من يقرؤها؛ إذ إنه يرى في هذه الأحاديث طعنا في ديننا وثقافتنا الإسلامية.</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 xml:space="preserve">ولا مانع أن نمر سريعًا على ما نقل عن بعض هؤلاء الفرق، التي نقلت أحاديث ودسوها في كتب التفسير، هناك </w:t>
      </w:r>
      <w:r w:rsidRPr="00E5161B">
        <w:rPr>
          <w:rFonts w:asciiTheme="majorBidi" w:hAnsiTheme="majorBidi" w:cstheme="majorBidi"/>
          <w:b/>
          <w:bCs/>
          <w:sz w:val="20"/>
          <w:szCs w:val="20"/>
          <w:rtl/>
          <w:lang w:bidi="ar-EG"/>
        </w:rPr>
        <w:t>الخوارج والقدرية</w:t>
      </w:r>
      <w:r w:rsidRPr="00E5161B">
        <w:rPr>
          <w:rFonts w:asciiTheme="majorBidi" w:hAnsiTheme="majorBidi" w:cstheme="majorBidi"/>
          <w:b/>
          <w:bCs/>
          <w:sz w:val="20"/>
          <w:szCs w:val="20"/>
          <w:rtl/>
        </w:rPr>
        <w:t xml:space="preserve"> والفرق الأخرى وضعوا أحاديث تؤيد مذاهبهم، قال شيخنا شيخ الإسلام ابن تيمية</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ثم إنه لسبب تطرف هؤلاء وضلالهم دخلت الرافضة الإمامية ثم الفلاسفة ثم القرامطة وغيرهم فيما هو أبلغ من هذا</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وتفاقم الأمر في الفلاسفة</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فإنهم فسروا القرآن بأنواع لا يقضي العالم منها عجبه.</w:t>
      </w:r>
    </w:p>
    <w:p w:rsidR="00D727CA" w:rsidRPr="00E5161B" w:rsidRDefault="00D727CA" w:rsidP="00E5161B">
      <w:pPr>
        <w:pStyle w:val="a3"/>
        <w:bidi/>
        <w:spacing w:before="0" w:beforeAutospacing="0" w:after="120" w:afterAutospacing="0" w:line="276" w:lineRule="auto"/>
        <w:jc w:val="both"/>
        <w:rPr>
          <w:rFonts w:asciiTheme="majorBidi" w:hAnsiTheme="majorBidi" w:cstheme="majorBidi"/>
          <w:b/>
          <w:bCs/>
          <w:sz w:val="20"/>
          <w:szCs w:val="20"/>
          <w:rtl/>
        </w:rPr>
      </w:pPr>
      <w:r w:rsidRPr="00E5161B">
        <w:rPr>
          <w:rFonts w:asciiTheme="majorBidi" w:hAnsiTheme="majorBidi" w:cstheme="majorBidi"/>
          <w:b/>
          <w:bCs/>
          <w:sz w:val="20"/>
          <w:szCs w:val="20"/>
          <w:rtl/>
        </w:rPr>
        <w:t xml:space="preserve">فالرافضة مثلًا يقولون في قوله تعالى: </w:t>
      </w:r>
      <w:r w:rsidR="00E5161B" w:rsidRPr="00E5161B">
        <w:rPr>
          <w:rFonts w:ascii="Tahoma" w:hAnsi="Tahoma" w:cs="DecoType Thuluth" w:hint="cs"/>
          <w:color w:val="008000"/>
          <w:sz w:val="20"/>
          <w:szCs w:val="20"/>
          <w:rtl/>
        </w:rPr>
        <w:t>{</w:t>
      </w:r>
      <w:r w:rsidR="00E5161B" w:rsidRPr="00E5161B">
        <w:rPr>
          <w:rFonts w:ascii="QCF_P603" w:hAnsi="QCF_P603" w:cs="QCF_P603"/>
          <w:color w:val="008000"/>
          <w:sz w:val="20"/>
          <w:szCs w:val="20"/>
          <w:rtl/>
        </w:rPr>
        <w:t>ﮈ ﮉ ﮊ ﮋ ﮌ</w:t>
      </w:r>
      <w:r w:rsidR="00E5161B" w:rsidRPr="00E5161B">
        <w:rPr>
          <w:rFonts w:ascii="QCF_P603" w:hAnsi="QCF_P603" w:cs="DecoType Thuluth"/>
          <w:color w:val="008000"/>
          <w:sz w:val="20"/>
          <w:szCs w:val="20"/>
          <w:rtl/>
        </w:rPr>
        <w:t>}</w:t>
      </w:r>
      <w:r w:rsidR="00E5161B"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 xml:space="preserve">[المسد: 1]، </w:t>
      </w:r>
      <w:r w:rsidRPr="00E5161B">
        <w:rPr>
          <w:rFonts w:asciiTheme="majorBidi" w:hAnsiTheme="majorBidi" w:cstheme="majorBidi"/>
          <w:b/>
          <w:bCs/>
          <w:spacing w:val="-4"/>
          <w:sz w:val="20"/>
          <w:szCs w:val="20"/>
          <w:rtl/>
        </w:rPr>
        <w:t xml:space="preserve">يقولون هما أبي بكر وعمر، ويقولون في قوله تعالى: </w:t>
      </w:r>
      <w:r w:rsidR="00E5161B" w:rsidRPr="00E5161B">
        <w:rPr>
          <w:rFonts w:ascii="Tahoma" w:hAnsi="Tahoma" w:cs="DecoType Thuluth" w:hint="cs"/>
          <w:color w:val="008000"/>
          <w:spacing w:val="-4"/>
          <w:sz w:val="20"/>
          <w:szCs w:val="20"/>
          <w:rtl/>
        </w:rPr>
        <w:t>{</w:t>
      </w:r>
      <w:r w:rsidR="00E5161B" w:rsidRPr="00E5161B">
        <w:rPr>
          <w:rFonts w:ascii="QCF_P465" w:hAnsi="QCF_P465" w:cs="QCF_P465"/>
          <w:color w:val="008000"/>
          <w:spacing w:val="-4"/>
          <w:sz w:val="20"/>
          <w:szCs w:val="20"/>
          <w:rtl/>
        </w:rPr>
        <w:t>ﯗ ﯘ ﯙ ﯚ</w:t>
      </w:r>
      <w:r w:rsidR="00E5161B" w:rsidRPr="00E5161B">
        <w:rPr>
          <w:rFonts w:ascii="QCF_P465" w:hAnsi="QCF_P465" w:cs="DecoType Thuluth"/>
          <w:color w:val="008000"/>
          <w:spacing w:val="-4"/>
          <w:sz w:val="20"/>
          <w:szCs w:val="20"/>
          <w:rtl/>
        </w:rPr>
        <w:t>}</w:t>
      </w:r>
      <w:r w:rsidR="00E5161B" w:rsidRPr="00E5161B">
        <w:rPr>
          <w:rFonts w:ascii="Tahoma" w:hAnsi="Tahoma" w:cs="AL-Hotham" w:hint="cs"/>
          <w:color w:val="008000"/>
          <w:spacing w:val="-4"/>
          <w:sz w:val="20"/>
          <w:szCs w:val="20"/>
          <w:rtl/>
        </w:rPr>
        <w:t xml:space="preserve"> </w:t>
      </w:r>
      <w:r w:rsidRPr="00E5161B">
        <w:rPr>
          <w:rFonts w:asciiTheme="majorBidi" w:hAnsiTheme="majorBidi" w:cstheme="majorBidi"/>
          <w:b/>
          <w:bCs/>
          <w:spacing w:val="-4"/>
          <w:sz w:val="20"/>
          <w:szCs w:val="20"/>
          <w:rtl/>
        </w:rPr>
        <w:t>[الزمر: 65]، يقولون: أي بين أبي بكر وعمر، وعلي في الخلافة:</w:t>
      </w:r>
      <w:r w:rsidRPr="00E5161B">
        <w:rPr>
          <w:rFonts w:asciiTheme="majorBidi" w:hAnsiTheme="majorBidi" w:cstheme="majorBidi"/>
          <w:b/>
          <w:bCs/>
          <w:color w:val="008000"/>
          <w:spacing w:val="-4"/>
          <w:sz w:val="20"/>
          <w:szCs w:val="20"/>
          <w:rtl/>
        </w:rPr>
        <w:t xml:space="preserve"> </w:t>
      </w:r>
      <w:r w:rsidR="00E5161B" w:rsidRPr="00E5161B">
        <w:rPr>
          <w:rFonts w:ascii="Tahoma" w:hAnsi="Tahoma" w:cs="DecoType Thuluth" w:hint="cs"/>
          <w:color w:val="008000"/>
          <w:spacing w:val="-4"/>
          <w:sz w:val="20"/>
          <w:szCs w:val="20"/>
          <w:rtl/>
        </w:rPr>
        <w:t>{</w:t>
      </w:r>
      <w:r w:rsidR="00E5161B" w:rsidRPr="00E5161B">
        <w:rPr>
          <w:rFonts w:ascii="QCF_P465" w:hAnsi="QCF_P465" w:cs="QCF_P465"/>
          <w:color w:val="008000"/>
          <w:spacing w:val="-4"/>
          <w:sz w:val="20"/>
          <w:szCs w:val="20"/>
          <w:rtl/>
        </w:rPr>
        <w:t>ﯗ ﯘ</w:t>
      </w:r>
      <w:r w:rsidR="00E5161B" w:rsidRPr="00E5161B">
        <w:rPr>
          <w:rFonts w:ascii="QCF_P465" w:hAnsi="QCF_P465" w:cs="DecoType Thuluth"/>
          <w:color w:val="008000"/>
          <w:spacing w:val="-4"/>
          <w:sz w:val="20"/>
          <w:szCs w:val="20"/>
          <w:rtl/>
        </w:rPr>
        <w:t>}</w:t>
      </w:r>
      <w:r w:rsidR="00E5161B"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كأن الخطاب إن أشركت أب</w:t>
      </w:r>
      <w:r w:rsidRPr="00E5161B">
        <w:rPr>
          <w:rFonts w:asciiTheme="majorBidi" w:hAnsiTheme="majorBidi" w:cstheme="majorBidi"/>
          <w:b/>
          <w:bCs/>
          <w:sz w:val="20"/>
          <w:szCs w:val="20"/>
          <w:rtl/>
          <w:lang w:bidi="ar-EG"/>
        </w:rPr>
        <w:t>ا</w:t>
      </w:r>
      <w:r w:rsidRPr="00E5161B">
        <w:rPr>
          <w:rFonts w:asciiTheme="majorBidi" w:hAnsiTheme="majorBidi" w:cstheme="majorBidi"/>
          <w:b/>
          <w:bCs/>
          <w:sz w:val="20"/>
          <w:szCs w:val="20"/>
          <w:rtl/>
        </w:rPr>
        <w:t xml:space="preserve"> بكر وعمر في الخلافة، </w:t>
      </w:r>
      <w:r w:rsidRPr="00E5161B">
        <w:rPr>
          <w:rFonts w:asciiTheme="majorBidi" w:hAnsiTheme="majorBidi" w:cstheme="majorBidi"/>
          <w:b/>
          <w:bCs/>
          <w:sz w:val="20"/>
          <w:szCs w:val="20"/>
          <w:rtl/>
          <w:lang w:bidi="ar-EG"/>
        </w:rPr>
        <w:t>و</w:t>
      </w:r>
      <w:r w:rsidRPr="00E5161B">
        <w:rPr>
          <w:rFonts w:asciiTheme="majorBidi" w:hAnsiTheme="majorBidi" w:cstheme="majorBidi"/>
          <w:b/>
          <w:bCs/>
          <w:sz w:val="20"/>
          <w:szCs w:val="20"/>
          <w:rtl/>
        </w:rPr>
        <w:t xml:space="preserve">قالوا في قوله: </w:t>
      </w:r>
      <w:r w:rsidR="00E5161B" w:rsidRPr="00E5161B">
        <w:rPr>
          <w:rFonts w:ascii="Tahoma" w:hAnsi="Tahoma" w:cs="DecoType Thuluth" w:hint="cs"/>
          <w:color w:val="008000"/>
          <w:sz w:val="20"/>
          <w:szCs w:val="20"/>
          <w:rtl/>
        </w:rPr>
        <w:t>{</w:t>
      </w:r>
      <w:r w:rsidR="00E5161B" w:rsidRPr="00E5161B">
        <w:rPr>
          <w:rFonts w:ascii="QCF_P010" w:hAnsi="QCF_P010" w:cs="QCF_P010"/>
          <w:color w:val="008000"/>
          <w:sz w:val="20"/>
          <w:szCs w:val="20"/>
          <w:rtl/>
        </w:rPr>
        <w:t>ﮤ ﮥ ﮦ ﮧ ﮨ ﮩ</w:t>
      </w:r>
      <w:r w:rsidR="00E5161B" w:rsidRPr="00E5161B">
        <w:rPr>
          <w:rFonts w:ascii="QCF_P010" w:hAnsi="QCF_P010" w:cs="DecoType Thuluth"/>
          <w:color w:val="008000"/>
          <w:sz w:val="20"/>
          <w:szCs w:val="20"/>
          <w:rtl/>
        </w:rPr>
        <w:t>}</w:t>
      </w:r>
      <w:r w:rsidR="00E5161B"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[البقرة: 67] قالوا</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المراد عائشة، وقالوا في قوله</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w:t>
      </w:r>
      <w:r w:rsidR="00E5161B" w:rsidRPr="00E5161B">
        <w:rPr>
          <w:rFonts w:ascii="Tahoma" w:hAnsi="Tahoma" w:cs="DecoType Thuluth" w:hint="cs"/>
          <w:color w:val="008000"/>
          <w:sz w:val="20"/>
          <w:szCs w:val="20"/>
          <w:rtl/>
        </w:rPr>
        <w:t>{</w:t>
      </w:r>
      <w:r w:rsidR="00E5161B" w:rsidRPr="00E5161B">
        <w:rPr>
          <w:rFonts w:ascii="QCF_P188" w:hAnsi="QCF_P188" w:cs="QCF_P188"/>
          <w:color w:val="008000"/>
          <w:sz w:val="20"/>
          <w:szCs w:val="20"/>
          <w:rtl/>
        </w:rPr>
        <w:t>ﮰ ﮱ ﯓ</w:t>
      </w:r>
      <w:r w:rsidR="00E5161B" w:rsidRPr="00E5161B">
        <w:rPr>
          <w:rFonts w:ascii="QCF_P188" w:hAnsi="QCF_P188" w:cs="DecoType Thuluth"/>
          <w:color w:val="008000"/>
          <w:sz w:val="20"/>
          <w:szCs w:val="20"/>
          <w:rtl/>
        </w:rPr>
        <w:t>}</w:t>
      </w:r>
      <w:r w:rsidR="00E5161B"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 xml:space="preserve">[التوبة: 12] قالوا: هم طلحة والزبير،  وقالوا في قوله: </w:t>
      </w:r>
      <w:r w:rsidR="00E5161B" w:rsidRPr="00E5161B">
        <w:rPr>
          <w:rFonts w:ascii="Tahoma" w:hAnsi="Tahoma" w:cs="DecoType Thuluth" w:hint="cs"/>
          <w:color w:val="008000"/>
          <w:sz w:val="20"/>
          <w:szCs w:val="20"/>
          <w:rtl/>
        </w:rPr>
        <w:t>{</w:t>
      </w:r>
      <w:r w:rsidR="00E5161B" w:rsidRPr="00E5161B">
        <w:rPr>
          <w:rFonts w:ascii="QCF_P532" w:hAnsi="QCF_P532" w:cs="QCF_P532"/>
          <w:color w:val="008000"/>
          <w:sz w:val="20"/>
          <w:szCs w:val="20"/>
          <w:rtl/>
        </w:rPr>
        <w:t>ﭛ ﭜ ﭝ</w:t>
      </w:r>
      <w:r w:rsidR="00E5161B" w:rsidRPr="00E5161B">
        <w:rPr>
          <w:rFonts w:ascii="QCF_P532" w:hAnsi="QCF_P532" w:cs="DecoType Thuluth"/>
          <w:color w:val="008000"/>
          <w:sz w:val="20"/>
          <w:szCs w:val="20"/>
          <w:rtl/>
        </w:rPr>
        <w:t>}</w:t>
      </w:r>
      <w:r w:rsidR="00E5161B"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 xml:space="preserve">[الرحمن: 19] والآية: </w:t>
      </w:r>
      <w:r w:rsidR="00E5161B" w:rsidRPr="00E5161B">
        <w:rPr>
          <w:rFonts w:ascii="Tahoma" w:hAnsi="Tahoma" w:cs="DecoType Thuluth" w:hint="cs"/>
          <w:color w:val="008000"/>
          <w:sz w:val="20"/>
          <w:szCs w:val="20"/>
          <w:rtl/>
        </w:rPr>
        <w:t>{</w:t>
      </w:r>
      <w:r w:rsidR="00E5161B" w:rsidRPr="00E5161B">
        <w:rPr>
          <w:rFonts w:ascii="QCF_P532" w:hAnsi="QCF_P532" w:cs="QCF_P532"/>
          <w:color w:val="008000"/>
          <w:sz w:val="20"/>
          <w:szCs w:val="20"/>
          <w:rtl/>
        </w:rPr>
        <w:t>ﭩ ﭪ ﭫ ﭬ</w:t>
      </w:r>
      <w:r w:rsidR="00E5161B" w:rsidRPr="00E5161B">
        <w:rPr>
          <w:rFonts w:ascii="QCF_P532" w:hAnsi="QCF_P532" w:cs="DecoType Thuluth"/>
          <w:color w:val="008000"/>
          <w:sz w:val="20"/>
          <w:szCs w:val="20"/>
          <w:rtl/>
        </w:rPr>
        <w:t>}</w:t>
      </w:r>
      <w:r w:rsidR="00E5161B"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 xml:space="preserve">[الرحمن: 22] </w:t>
      </w:r>
      <w:r w:rsidRPr="00E5161B">
        <w:rPr>
          <w:rFonts w:ascii="Tahoma" w:hAnsi="Tahoma" w:cs="DecoType Thuluth" w:hint="cs"/>
          <w:color w:val="008000"/>
          <w:sz w:val="20"/>
          <w:szCs w:val="20"/>
          <w:rtl/>
        </w:rPr>
        <w:t>{</w:t>
      </w:r>
      <w:r w:rsidRPr="00E5161B">
        <w:rPr>
          <w:rFonts w:ascii="QCF_P532" w:hAnsi="QCF_P532" w:cs="QCF_P532"/>
          <w:color w:val="008000"/>
          <w:sz w:val="20"/>
          <w:szCs w:val="20"/>
          <w:rtl/>
        </w:rPr>
        <w:t>ﭛ ﭜ</w:t>
      </w:r>
      <w:r w:rsidRPr="00E5161B">
        <w:rPr>
          <w:rFonts w:ascii="QCF_P532" w:hAnsi="QCF_P532" w:cs="DecoType Thuluth"/>
          <w:color w:val="008000"/>
          <w:sz w:val="20"/>
          <w:szCs w:val="20"/>
          <w:rtl/>
        </w:rPr>
        <w:t>}</w:t>
      </w:r>
      <w:r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 xml:space="preserve">علي وفاطمة، </w:t>
      </w:r>
      <w:r w:rsidRPr="00E5161B">
        <w:rPr>
          <w:rFonts w:ascii="Tahoma" w:hAnsi="Tahoma" w:cs="DecoType Thuluth" w:hint="cs"/>
          <w:color w:val="008000"/>
          <w:sz w:val="20"/>
          <w:szCs w:val="20"/>
          <w:rtl/>
        </w:rPr>
        <w:t>{</w:t>
      </w:r>
      <w:r w:rsidRPr="00E5161B">
        <w:rPr>
          <w:rFonts w:ascii="QCF_P532" w:hAnsi="QCF_P532" w:cs="QCF_P532"/>
          <w:color w:val="008000"/>
          <w:sz w:val="20"/>
          <w:szCs w:val="20"/>
          <w:rtl/>
        </w:rPr>
        <w:t>ﭫ ﭬ</w:t>
      </w:r>
      <w:r w:rsidRPr="00E5161B">
        <w:rPr>
          <w:rFonts w:ascii="QCF_P532" w:hAnsi="QCF_P532" w:cs="DecoType Thuluth"/>
          <w:color w:val="008000"/>
          <w:sz w:val="20"/>
          <w:szCs w:val="20"/>
          <w:rtl/>
        </w:rPr>
        <w:t>}</w:t>
      </w:r>
      <w:r w:rsidRPr="00E5161B">
        <w:rPr>
          <w:rFonts w:ascii="Tahoma" w:hAnsi="Tahoma" w:cs="AL-Hotham" w:hint="cs"/>
          <w:sz w:val="20"/>
          <w:szCs w:val="20"/>
          <w:rtl/>
        </w:rPr>
        <w:t xml:space="preserve"> </w:t>
      </w:r>
      <w:r w:rsidRPr="00E5161B">
        <w:rPr>
          <w:rFonts w:asciiTheme="majorBidi" w:hAnsiTheme="majorBidi" w:cstheme="majorBidi"/>
          <w:b/>
          <w:bCs/>
          <w:sz w:val="20"/>
          <w:szCs w:val="20"/>
          <w:rtl/>
        </w:rPr>
        <w:t xml:space="preserve">الحسن والحسين، وقالوا: إنما وليكم في قوله: </w:t>
      </w:r>
      <w:r w:rsidRPr="00E5161B">
        <w:rPr>
          <w:rFonts w:ascii="Tahoma" w:hAnsi="Tahoma" w:cs="DecoType Thuluth" w:hint="cs"/>
          <w:color w:val="008000"/>
          <w:sz w:val="20"/>
          <w:szCs w:val="20"/>
          <w:rtl/>
        </w:rPr>
        <w:t>{</w:t>
      </w:r>
      <w:r w:rsidRPr="00E5161B">
        <w:rPr>
          <w:rFonts w:ascii="QCF_P117" w:hAnsi="QCF_P117" w:cs="QCF_P117"/>
          <w:color w:val="008000"/>
          <w:sz w:val="20"/>
          <w:szCs w:val="20"/>
          <w:rtl/>
        </w:rPr>
        <w:t>ﯥ ﯦ ﯧ ﯨ ﯩ ﯪ ﯫ ﯬ ﯭ ﯮ ﯯ ﯰ ﯱ</w:t>
      </w:r>
      <w:r w:rsidRPr="00E5161B">
        <w:rPr>
          <w:rFonts w:ascii="QCF_P117" w:hAnsi="QCF_P117" w:cs="DecoType Thuluth"/>
          <w:color w:val="008000"/>
          <w:sz w:val="20"/>
          <w:szCs w:val="20"/>
          <w:rtl/>
        </w:rPr>
        <w:t>}</w:t>
      </w:r>
      <w:r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[المائدة: 55] قالوا</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هو علي.</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ويذكرون الحديث الموضوع بإجماع أهل العلم، في أن عليًّا تصدق بخاتمه، وهو في الصلاة، وسنذكر ذلك -إن شاء الله.</w:t>
      </w:r>
    </w:p>
    <w:p w:rsidR="00D727CA" w:rsidRPr="00E5161B" w:rsidRDefault="00D727CA" w:rsidP="00D727CA">
      <w:pPr>
        <w:pStyle w:val="a3"/>
        <w:bidi/>
        <w:spacing w:before="0" w:beforeAutospacing="0" w:after="120" w:afterAutospacing="0" w:line="276" w:lineRule="auto"/>
        <w:jc w:val="both"/>
        <w:rPr>
          <w:rFonts w:asciiTheme="majorBidi" w:hAnsiTheme="majorBidi" w:cstheme="majorBidi"/>
          <w:b/>
          <w:bCs/>
          <w:sz w:val="20"/>
          <w:szCs w:val="20"/>
          <w:rtl/>
        </w:rPr>
      </w:pPr>
      <w:r w:rsidRPr="00E5161B">
        <w:rPr>
          <w:rFonts w:asciiTheme="majorBidi" w:hAnsiTheme="majorBidi" w:cstheme="majorBidi"/>
          <w:b/>
          <w:bCs/>
          <w:sz w:val="20"/>
          <w:szCs w:val="20"/>
          <w:rtl/>
        </w:rPr>
        <w:lastRenderedPageBreak/>
        <w:t xml:space="preserve">في قوله تعالى: </w:t>
      </w:r>
      <w:r w:rsidRPr="00E5161B">
        <w:rPr>
          <w:rFonts w:ascii="Tahoma" w:hAnsi="Tahoma" w:cs="DecoType Thuluth" w:hint="cs"/>
          <w:color w:val="008000"/>
          <w:sz w:val="20"/>
          <w:szCs w:val="20"/>
          <w:rtl/>
        </w:rPr>
        <w:t>{</w:t>
      </w:r>
      <w:r w:rsidRPr="00E5161B">
        <w:rPr>
          <w:rFonts w:ascii="QCF_P024" w:hAnsi="QCF_P024" w:cs="QCF_P024"/>
          <w:color w:val="008000"/>
          <w:sz w:val="20"/>
          <w:szCs w:val="20"/>
          <w:rtl/>
        </w:rPr>
        <w:t>ﭹ ﭺ ﭻ ﭼ ﭽ ﭾ</w:t>
      </w:r>
      <w:r w:rsidRPr="00E5161B">
        <w:rPr>
          <w:rFonts w:ascii="QCF_P024" w:hAnsi="QCF_P024" w:cs="DecoType Thuluth"/>
          <w:color w:val="008000"/>
          <w:sz w:val="20"/>
          <w:szCs w:val="20"/>
          <w:rtl/>
        </w:rPr>
        <w:t>}</w:t>
      </w:r>
      <w:r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 xml:space="preserve">[البقرة: 157] قالوا: نزلت في علي لما أصيب بحمزة، ومما يقارب هذا ما ذكروه أيضًا في قوله: </w:t>
      </w:r>
      <w:r w:rsidRPr="00E5161B">
        <w:rPr>
          <w:rFonts w:ascii="Tahoma" w:hAnsi="Tahoma" w:cs="DecoType Thuluth" w:hint="cs"/>
          <w:color w:val="008000"/>
          <w:sz w:val="20"/>
          <w:szCs w:val="20"/>
          <w:rtl/>
        </w:rPr>
        <w:t>{</w:t>
      </w:r>
      <w:r w:rsidRPr="00E5161B">
        <w:rPr>
          <w:rFonts w:ascii="QCF_P052" w:hAnsi="QCF_P052" w:cs="QCF_P052"/>
          <w:color w:val="008000"/>
          <w:sz w:val="20"/>
          <w:szCs w:val="20"/>
          <w:rtl/>
        </w:rPr>
        <w:t>ﭝ ﭞ ﭟ ﭠ ﭡ ﭢ</w:t>
      </w:r>
      <w:r w:rsidRPr="00E5161B">
        <w:rPr>
          <w:rFonts w:ascii="QCF_P052" w:hAnsi="QCF_P052" w:cs="DecoType Thuluth"/>
          <w:color w:val="008000"/>
          <w:sz w:val="20"/>
          <w:szCs w:val="20"/>
          <w:rtl/>
        </w:rPr>
        <w:t>}</w:t>
      </w:r>
      <w:r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[آل عمران: 17]، إن</w:t>
      </w:r>
      <w:r w:rsidRPr="00E5161B">
        <w:rPr>
          <w:rFonts w:asciiTheme="majorBidi" w:hAnsiTheme="majorBidi" w:cstheme="majorBidi"/>
          <w:b/>
          <w:bCs/>
          <w:color w:val="008000"/>
          <w:sz w:val="20"/>
          <w:szCs w:val="20"/>
          <w:rtl/>
        </w:rPr>
        <w:t xml:space="preserve"> </w:t>
      </w:r>
      <w:r w:rsidRPr="00E5161B">
        <w:rPr>
          <w:rFonts w:ascii="Tahoma" w:hAnsi="Tahoma" w:cs="DecoType Thuluth" w:hint="cs"/>
          <w:color w:val="008000"/>
          <w:sz w:val="20"/>
          <w:szCs w:val="20"/>
          <w:rtl/>
        </w:rPr>
        <w:t>{</w:t>
      </w:r>
      <w:r w:rsidRPr="00E5161B">
        <w:rPr>
          <w:rFonts w:ascii="QCF_P052" w:hAnsi="QCF_P052" w:cs="QCF_P052"/>
          <w:color w:val="008000"/>
          <w:sz w:val="20"/>
          <w:szCs w:val="20"/>
          <w:rtl/>
        </w:rPr>
        <w:t>ﭝ</w:t>
      </w:r>
      <w:r w:rsidRPr="00E5161B">
        <w:rPr>
          <w:rFonts w:ascii="QCF_P052" w:hAnsi="QCF_P052" w:cs="DecoType Thuluth"/>
          <w:color w:val="008000"/>
          <w:sz w:val="20"/>
          <w:szCs w:val="20"/>
          <w:rtl/>
        </w:rPr>
        <w:t>}</w:t>
      </w:r>
      <w:r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 xml:space="preserve">رسول </w:t>
      </w:r>
      <w:r w:rsidRPr="00E5161B">
        <w:rPr>
          <w:rFonts w:asciiTheme="majorBidi" w:hAnsiTheme="majorBidi" w:cstheme="majorBidi"/>
          <w:b/>
          <w:bCs/>
          <w:position w:val="-4"/>
          <w:sz w:val="20"/>
          <w:szCs w:val="20"/>
        </w:rPr>
        <w:t></w:t>
      </w:r>
      <w:r w:rsidRPr="00E5161B">
        <w:rPr>
          <w:rFonts w:asciiTheme="majorBidi" w:hAnsiTheme="majorBidi" w:cstheme="majorBidi"/>
          <w:b/>
          <w:bCs/>
          <w:color w:val="008000"/>
          <w:sz w:val="20"/>
          <w:szCs w:val="20"/>
          <w:rtl/>
        </w:rPr>
        <w:t xml:space="preserve"> </w:t>
      </w:r>
      <w:r w:rsidRPr="00E5161B">
        <w:rPr>
          <w:rFonts w:ascii="Tahoma" w:hAnsi="Tahoma" w:cs="DecoType Thuluth" w:hint="cs"/>
          <w:color w:val="008000"/>
          <w:sz w:val="20"/>
          <w:szCs w:val="20"/>
          <w:rtl/>
        </w:rPr>
        <w:t>{</w:t>
      </w:r>
      <w:r w:rsidRPr="00E5161B">
        <w:rPr>
          <w:rFonts w:ascii="QCF_P052" w:hAnsi="QCF_P052" w:cs="QCF_P052"/>
          <w:color w:val="008000"/>
          <w:sz w:val="20"/>
          <w:szCs w:val="20"/>
          <w:rtl/>
        </w:rPr>
        <w:t>ﭞ</w:t>
      </w:r>
      <w:r w:rsidRPr="00E5161B">
        <w:rPr>
          <w:rFonts w:ascii="QCF_P052" w:hAnsi="QCF_P052" w:cs="DecoType Thuluth"/>
          <w:color w:val="008000"/>
          <w:sz w:val="20"/>
          <w:szCs w:val="20"/>
          <w:rtl/>
        </w:rPr>
        <w:t>}</w:t>
      </w:r>
      <w:r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أبو بكر</w:t>
      </w:r>
      <w:r w:rsidRPr="00E5161B">
        <w:rPr>
          <w:rFonts w:asciiTheme="majorBidi" w:hAnsiTheme="majorBidi" w:cstheme="majorBidi"/>
          <w:b/>
          <w:bCs/>
          <w:color w:val="008000"/>
          <w:sz w:val="20"/>
          <w:szCs w:val="20"/>
          <w:rtl/>
        </w:rPr>
        <w:t xml:space="preserve"> </w:t>
      </w:r>
      <w:r w:rsidRPr="00E5161B">
        <w:rPr>
          <w:rFonts w:ascii="Tahoma" w:hAnsi="Tahoma" w:cs="DecoType Thuluth" w:hint="cs"/>
          <w:color w:val="008000"/>
          <w:sz w:val="20"/>
          <w:szCs w:val="20"/>
          <w:rtl/>
        </w:rPr>
        <w:t>{</w:t>
      </w:r>
      <w:r w:rsidRPr="00E5161B">
        <w:rPr>
          <w:rFonts w:ascii="QCF_P052" w:hAnsi="QCF_P052" w:cs="QCF_P052"/>
          <w:color w:val="008000"/>
          <w:sz w:val="20"/>
          <w:szCs w:val="20"/>
          <w:rtl/>
        </w:rPr>
        <w:t>ﭟ</w:t>
      </w:r>
      <w:r w:rsidRPr="00E5161B">
        <w:rPr>
          <w:rFonts w:ascii="QCF_P052" w:hAnsi="QCF_P052" w:cs="DecoType Thuluth"/>
          <w:color w:val="008000"/>
          <w:sz w:val="20"/>
          <w:szCs w:val="20"/>
          <w:rtl/>
        </w:rPr>
        <w:t>}</w:t>
      </w:r>
      <w:r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عمر،</w:t>
      </w:r>
      <w:r w:rsidRPr="00E5161B">
        <w:rPr>
          <w:rFonts w:asciiTheme="majorBidi" w:hAnsiTheme="majorBidi" w:cstheme="majorBidi"/>
          <w:b/>
          <w:bCs/>
          <w:color w:val="008000"/>
          <w:sz w:val="20"/>
          <w:szCs w:val="20"/>
          <w:rtl/>
        </w:rPr>
        <w:t xml:space="preserve"> </w:t>
      </w:r>
      <w:r w:rsidRPr="00E5161B">
        <w:rPr>
          <w:rFonts w:ascii="Tahoma" w:hAnsi="Tahoma" w:cs="DecoType Thuluth" w:hint="cs"/>
          <w:color w:val="008000"/>
          <w:sz w:val="20"/>
          <w:szCs w:val="20"/>
          <w:rtl/>
        </w:rPr>
        <w:t>{</w:t>
      </w:r>
      <w:r w:rsidRPr="00E5161B">
        <w:rPr>
          <w:rFonts w:ascii="QCF_P052" w:hAnsi="QCF_P052" w:cs="QCF_P052"/>
          <w:color w:val="008000"/>
          <w:sz w:val="20"/>
          <w:szCs w:val="20"/>
          <w:rtl/>
        </w:rPr>
        <w:t>ﭠ</w:t>
      </w:r>
      <w:r w:rsidRPr="00E5161B">
        <w:rPr>
          <w:rFonts w:ascii="QCF_P052" w:hAnsi="QCF_P052" w:cs="DecoType Thuluth"/>
          <w:color w:val="008000"/>
          <w:sz w:val="20"/>
          <w:szCs w:val="20"/>
          <w:rtl/>
        </w:rPr>
        <w:t>}</w:t>
      </w:r>
      <w:r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عثمان</w:t>
      </w:r>
      <w:r w:rsidRPr="00E5161B">
        <w:rPr>
          <w:rFonts w:asciiTheme="majorBidi" w:hAnsiTheme="majorBidi" w:cstheme="majorBidi"/>
          <w:b/>
          <w:bCs/>
          <w:color w:val="008000"/>
          <w:sz w:val="20"/>
          <w:szCs w:val="20"/>
          <w:rtl/>
        </w:rPr>
        <w:t xml:space="preserve"> </w:t>
      </w:r>
      <w:r w:rsidRPr="00E5161B">
        <w:rPr>
          <w:rFonts w:ascii="Tahoma" w:hAnsi="Tahoma" w:cs="DecoType Thuluth" w:hint="cs"/>
          <w:color w:val="008000"/>
          <w:sz w:val="20"/>
          <w:szCs w:val="20"/>
          <w:rtl/>
        </w:rPr>
        <w:t>{</w:t>
      </w:r>
      <w:r w:rsidRPr="00E5161B">
        <w:rPr>
          <w:rFonts w:ascii="QCF_P052" w:hAnsi="QCF_P052" w:cs="QCF_P052"/>
          <w:color w:val="008000"/>
          <w:sz w:val="20"/>
          <w:szCs w:val="20"/>
          <w:rtl/>
        </w:rPr>
        <w:t>ﭡ</w:t>
      </w:r>
      <w:r w:rsidRPr="00E5161B">
        <w:rPr>
          <w:rFonts w:ascii="QCF_P052" w:hAnsi="QCF_P052" w:cs="DecoType Thuluth"/>
          <w:color w:val="008000"/>
          <w:sz w:val="20"/>
          <w:szCs w:val="20"/>
          <w:rtl/>
        </w:rPr>
        <w:t>}</w:t>
      </w:r>
      <w:r w:rsidRPr="00E5161B">
        <w:rPr>
          <w:rFonts w:ascii="Tahoma" w:hAnsi="Tahoma" w:cs="AL-Hotham" w:hint="cs"/>
          <w:color w:val="008000"/>
          <w:sz w:val="20"/>
          <w:szCs w:val="20"/>
          <w:rtl/>
        </w:rPr>
        <w:t xml:space="preserve"> </w:t>
      </w:r>
      <w:r w:rsidRPr="00E5161B">
        <w:rPr>
          <w:rFonts w:asciiTheme="majorBidi" w:hAnsiTheme="majorBidi" w:cstheme="majorBidi"/>
          <w:b/>
          <w:bCs/>
          <w:sz w:val="20"/>
          <w:szCs w:val="20"/>
          <w:rtl/>
        </w:rPr>
        <w:t>علي،</w:t>
      </w:r>
      <w:r w:rsidRPr="00E5161B">
        <w:rPr>
          <w:rFonts w:asciiTheme="majorBidi" w:hAnsiTheme="majorBidi" w:cstheme="majorBidi"/>
          <w:b/>
          <w:bCs/>
          <w:color w:val="008000"/>
          <w:sz w:val="20"/>
          <w:szCs w:val="20"/>
          <w:rtl/>
        </w:rPr>
        <w:t xml:space="preserve"> </w:t>
      </w:r>
      <w:r w:rsidRPr="00E5161B">
        <w:rPr>
          <w:rFonts w:asciiTheme="majorBidi" w:hAnsiTheme="majorBidi" w:cstheme="majorBidi"/>
          <w:b/>
          <w:bCs/>
          <w:sz w:val="20"/>
          <w:szCs w:val="20"/>
          <w:rtl/>
        </w:rPr>
        <w:t xml:space="preserve">مع أن الصفات طيبة، لكن هذا لم يرد فيه تحديد، هناك كلام كثير نغض الطرف عنه الآن، ولنعد إلى نماذج من الأحاديث الموضوعة الأخرى. </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ونبدأ بأشهر ما ورد في هذا النوع من الأحاديث الموضوعة.</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نقول: لا نقصدُ في ذكر الأحاديث الموضوعة في مجال التفسير، أن نستقْصِيَ كل ما ذُكِر، إنما نشير إلى نماذج منها، وعلى سبيل الإجمال ودون تفصيل، فإن الحقيقة التي لا تخفى، ولا تغيب، أننا لو أردنا استقصاء، واستقراء كل ما ورد من الأحاديث الموضوعة أو الإسرائيليات مما يسمى الدخيل والموضوعات في كتب التفسير، فإنها تحتاج إلى عشرات الساعات، وبما أننا محكمون بمنهج محدد، فسنورد نماذج على سبيل الذكر والمثال، لا على سبيل الحصر والإحصاء.</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من تلك الأحاديث: الأحاديث الموضوعة في فضائل سور القرآن، ومنها أيضًا سنعرفُ بعد ذلك ما وَرَدَ في أسبَابِ النُّزُولِ، فإنَّ العَاقِلَ عندما يستقرئُ كتبَ التفسير، يرى الكَمَّ الكثيرَ، والقدرَ الهائلَ في الموضوعاتِ</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إما فِي فَضَائلِ السور، أو في فواتح السور، أو في قصص الأنبياء، أو  في أسباب النزول، على كل حال معظم ما أورده المفسرون في  فضلِ سورِ القرآنِ أحاديث موضوعة، وانتبه أخَا الإسلام ليست كلُّ الأحاديث التي وردت في فضائلِ السورِ موضوعة، هناك سور صح في فضلها أحاديث بينها الإمام السيوطي، ونحن إذا رجعنا إلى هذه الأحاديث سنرى أنها صحيحة في بعض السور، وقليل من الآيات.</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 xml:space="preserve">إنما الحديث الذي شَمَلَ كُلَّ السورِ المائة والأربع عشرة سورة، </w:t>
      </w:r>
      <w:r w:rsidRPr="00E5161B">
        <w:rPr>
          <w:rFonts w:asciiTheme="majorBidi" w:hAnsiTheme="majorBidi" w:cstheme="majorBidi"/>
          <w:b/>
          <w:bCs/>
          <w:sz w:val="20"/>
          <w:szCs w:val="20"/>
          <w:rtl/>
          <w:lang w:bidi="ar-EG"/>
        </w:rPr>
        <w:t>ال</w:t>
      </w:r>
      <w:r w:rsidRPr="00E5161B">
        <w:rPr>
          <w:rFonts w:asciiTheme="majorBidi" w:hAnsiTheme="majorBidi" w:cstheme="majorBidi"/>
          <w:b/>
          <w:bCs/>
          <w:sz w:val="20"/>
          <w:szCs w:val="20"/>
          <w:rtl/>
        </w:rPr>
        <w:t xml:space="preserve">حديث </w:t>
      </w:r>
      <w:r w:rsidRPr="00E5161B">
        <w:rPr>
          <w:rFonts w:asciiTheme="majorBidi" w:hAnsiTheme="majorBidi" w:cstheme="majorBidi"/>
          <w:b/>
          <w:bCs/>
          <w:sz w:val="20"/>
          <w:szCs w:val="20"/>
          <w:rtl/>
          <w:lang w:bidi="ar-EG"/>
        </w:rPr>
        <w:t>ال</w:t>
      </w:r>
      <w:r w:rsidRPr="00E5161B">
        <w:rPr>
          <w:rFonts w:asciiTheme="majorBidi" w:hAnsiTheme="majorBidi" w:cstheme="majorBidi"/>
          <w:b/>
          <w:bCs/>
          <w:sz w:val="20"/>
          <w:szCs w:val="20"/>
          <w:rtl/>
        </w:rPr>
        <w:t>مشهور المروي عن أُبَي بن كعب هو حديث موضوع -إن شاء الله.</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 xml:space="preserve">والأحاديث التي وردت وصحَّتْ في فضائل بعض السور، هي كما بينَهَا الإمام السيوطي، بقوله: واعلم أن السورَ التي صَحَّتْ الأحاديث في فضلها هي الفاتحة، والزهراوان </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البقرة وال عمران</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w:t>
      </w:r>
      <w:r w:rsidRPr="00E5161B">
        <w:rPr>
          <w:rFonts w:asciiTheme="majorBidi" w:hAnsiTheme="majorBidi" w:cstheme="majorBidi"/>
          <w:b/>
          <w:bCs/>
          <w:sz w:val="20"/>
          <w:szCs w:val="20"/>
          <w:rtl/>
          <w:lang w:bidi="ar-EG"/>
        </w:rPr>
        <w:t>و</w:t>
      </w:r>
      <w:r w:rsidRPr="00E5161B">
        <w:rPr>
          <w:rFonts w:asciiTheme="majorBidi" w:hAnsiTheme="majorBidi" w:cstheme="majorBidi"/>
          <w:b/>
          <w:bCs/>
          <w:sz w:val="20"/>
          <w:szCs w:val="20"/>
          <w:rtl/>
        </w:rPr>
        <w:t xml:space="preserve">سورة الأنعام، والسبع الطوال </w:t>
      </w:r>
      <w:r w:rsidRPr="00E5161B">
        <w:rPr>
          <w:rFonts w:asciiTheme="majorBidi" w:hAnsiTheme="majorBidi" w:cstheme="majorBidi"/>
          <w:b/>
          <w:bCs/>
          <w:sz w:val="20"/>
          <w:szCs w:val="20"/>
          <w:rtl/>
          <w:lang w:bidi="ar-EG"/>
        </w:rPr>
        <w:t>-ا</w:t>
      </w:r>
      <w:r w:rsidRPr="00E5161B">
        <w:rPr>
          <w:rFonts w:asciiTheme="majorBidi" w:hAnsiTheme="majorBidi" w:cstheme="majorBidi"/>
          <w:b/>
          <w:bCs/>
          <w:sz w:val="20"/>
          <w:szCs w:val="20"/>
          <w:rtl/>
        </w:rPr>
        <w:t>لطول جمع طول</w:t>
      </w:r>
      <w:r w:rsidRPr="00E5161B">
        <w:rPr>
          <w:rFonts w:asciiTheme="majorBidi" w:hAnsiTheme="majorBidi" w:cstheme="majorBidi"/>
          <w:b/>
          <w:bCs/>
          <w:sz w:val="20"/>
          <w:szCs w:val="20"/>
          <w:rtl/>
          <w:lang w:bidi="ar-EG"/>
        </w:rPr>
        <w:t>ى</w:t>
      </w:r>
      <w:r w:rsidRPr="00E5161B">
        <w:rPr>
          <w:rFonts w:asciiTheme="majorBidi" w:hAnsiTheme="majorBidi" w:cstheme="majorBidi"/>
          <w:b/>
          <w:bCs/>
          <w:sz w:val="20"/>
          <w:szCs w:val="20"/>
          <w:rtl/>
        </w:rPr>
        <w:t>، والطوال جمع طويلة</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وهي البقرة وأل عمران والنساء والمائدة والأنعام والأعراف وبراءة أو الأنفال مع براءة، على كل حال مجملًا، وسورة الكهف، وسورةُ يس</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والدخان، والملك، والزلزلة، والنصر</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والكافرون، والإخلاص، والمعوذتين، وما عداها</w:t>
      </w:r>
      <w:r w:rsidRPr="00E5161B">
        <w:rPr>
          <w:rFonts w:asciiTheme="majorBidi" w:hAnsiTheme="majorBidi" w:cstheme="majorBidi"/>
          <w:b/>
          <w:bCs/>
          <w:sz w:val="20"/>
          <w:szCs w:val="20"/>
          <w:rtl/>
          <w:lang w:bidi="ar-EG"/>
        </w:rPr>
        <w:t xml:space="preserve"> لم</w:t>
      </w:r>
      <w:r w:rsidRPr="00E5161B">
        <w:rPr>
          <w:rFonts w:asciiTheme="majorBidi" w:hAnsiTheme="majorBidi" w:cstheme="majorBidi"/>
          <w:b/>
          <w:bCs/>
          <w:sz w:val="20"/>
          <w:szCs w:val="20"/>
          <w:rtl/>
        </w:rPr>
        <w:t xml:space="preserve"> يصح فيه شيء.</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 xml:space="preserve">نتحفظ قليلًا على كلام الإمام السيوطي، فأحاديث الفاتحة صحيحة والزهراوين والأنعام والكهف، أما حديث يس؛ فقد صححه البعض </w:t>
      </w:r>
      <w:r w:rsidRPr="00E5161B">
        <w:rPr>
          <w:rFonts w:asciiTheme="majorBidi" w:hAnsiTheme="majorBidi" w:cstheme="majorBidi"/>
          <w:b/>
          <w:bCs/>
          <w:sz w:val="20"/>
          <w:szCs w:val="20"/>
          <w:rtl/>
        </w:rPr>
        <w:lastRenderedPageBreak/>
        <w:t>وحسنه آخرون وضعفه آخرون، وكذلك ما ورد في الدخان والملك والزلزلة، أما سورة النصر والإخلاص والمعوذتين؛ فالأحاديث فيها صحيحة، ومعظمها متفق عليه.</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z w:val="20"/>
          <w:szCs w:val="20"/>
          <w:rtl/>
        </w:rPr>
        <w:t>على كل حال: من الأحاديث الموضوعة في فضائل السور</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ما ذكره أبو السعود، وعند الانتهاء من سورة </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يونس</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ذكر حديث في فضلها ورفعه إلى النبي </w:t>
      </w:r>
      <w:r w:rsidRPr="00E5161B">
        <w:rPr>
          <w:rFonts w:asciiTheme="majorBidi" w:hAnsiTheme="majorBidi" w:cstheme="majorBidi"/>
          <w:b/>
          <w:bCs/>
          <w:position w:val="-4"/>
          <w:sz w:val="20"/>
          <w:szCs w:val="20"/>
        </w:rPr>
        <w:t></w:t>
      </w:r>
      <w:r w:rsidRPr="00E5161B">
        <w:rPr>
          <w:rFonts w:asciiTheme="majorBidi" w:hAnsiTheme="majorBidi" w:cstheme="majorBidi"/>
          <w:b/>
          <w:bCs/>
          <w:sz w:val="20"/>
          <w:szCs w:val="20"/>
          <w:rtl/>
        </w:rPr>
        <w:t>: "من قرأ سورة يونس، أعطيَ لَهُ من الأجرِ عشرَ حسناتِ، بعدد من صدق يونس، وكذب به، وبعدد من غرق مع فرعون".</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pacing w:val="-4"/>
          <w:sz w:val="20"/>
          <w:szCs w:val="20"/>
          <w:rtl/>
        </w:rPr>
        <w:t xml:space="preserve">والأحاديث تناولت جميع السور وهي أحاديث معروفة، حديث أُبَي بن كعب </w:t>
      </w:r>
      <w:r w:rsidRPr="00E5161B">
        <w:rPr>
          <w:rFonts w:asciiTheme="majorBidi" w:hAnsiTheme="majorBidi" w:cstheme="majorBidi"/>
          <w:b/>
          <w:bCs/>
          <w:spacing w:val="-4"/>
          <w:position w:val="-4"/>
          <w:sz w:val="20"/>
          <w:szCs w:val="20"/>
          <w:rtl/>
        </w:rPr>
        <w:t>&gt;</w:t>
      </w:r>
      <w:r w:rsidRPr="00E5161B">
        <w:rPr>
          <w:rFonts w:asciiTheme="majorBidi" w:hAnsiTheme="majorBidi" w:cstheme="majorBidi"/>
          <w:b/>
          <w:bCs/>
          <w:sz w:val="20"/>
          <w:szCs w:val="20"/>
          <w:rtl/>
        </w:rPr>
        <w:t xml:space="preserve"> وضعت في فضائل السور جملة شاملة لكل السور من الأحاديث، وواضعُوهَا قصدوا ترغيب الناس في قراءة القرآن، وزعموا أن في ذلك حسبةً إلى الله تعالى، وهذا غلط وقصدهم فاسد، وزعمهم باطل؛ لأن كُلَّ هذا داخل تحت وعيد الحديث: </w:t>
      </w:r>
      <w:r w:rsidRPr="00E5161B">
        <w:rPr>
          <w:rFonts w:asciiTheme="majorBidi" w:hAnsiTheme="majorBidi" w:cstheme="majorBidi"/>
          <w:b/>
          <w:bCs/>
          <w:color w:val="0000FF"/>
          <w:sz w:val="20"/>
          <w:szCs w:val="20"/>
          <w:rtl/>
        </w:rPr>
        <w:t>((من كذب علي متعمدًا، فليتبوأ مقعده من النار))</w:t>
      </w:r>
      <w:r w:rsidRPr="00E5161B">
        <w:rPr>
          <w:rFonts w:asciiTheme="majorBidi" w:hAnsiTheme="majorBidi" w:cstheme="majorBidi"/>
          <w:b/>
          <w:bCs/>
          <w:sz w:val="20"/>
          <w:szCs w:val="20"/>
          <w:rtl/>
        </w:rPr>
        <w:t>، ولا فرق بين الكذب على رسول الله، والكذب له.</w:t>
      </w:r>
    </w:p>
    <w:p w:rsidR="00D727CA" w:rsidRPr="00E5161B" w:rsidRDefault="00D727CA" w:rsidP="00D727CA">
      <w:pPr>
        <w:pStyle w:val="a3"/>
        <w:bidi/>
        <w:spacing w:before="0" w:beforeAutospacing="0" w:after="120" w:afterAutospacing="0" w:line="276" w:lineRule="auto"/>
        <w:jc w:val="lowKashida"/>
        <w:rPr>
          <w:rFonts w:asciiTheme="majorBidi" w:hAnsiTheme="majorBidi" w:cstheme="majorBidi"/>
          <w:b/>
          <w:bCs/>
          <w:sz w:val="20"/>
          <w:szCs w:val="20"/>
          <w:rtl/>
        </w:rPr>
      </w:pPr>
      <w:r w:rsidRPr="00E5161B">
        <w:rPr>
          <w:rFonts w:asciiTheme="majorBidi" w:hAnsiTheme="majorBidi" w:cstheme="majorBidi"/>
          <w:b/>
          <w:bCs/>
          <w:spacing w:val="4"/>
          <w:sz w:val="20"/>
          <w:szCs w:val="20"/>
          <w:rtl/>
        </w:rPr>
        <w:t xml:space="preserve">أما حديث أُبَي بن كعب الطويل، فهذا الحديث يروى عن أُبَي بن كعب عن النبي </w:t>
      </w:r>
      <w:r w:rsidRPr="00E5161B">
        <w:rPr>
          <w:rFonts w:asciiTheme="majorBidi" w:hAnsiTheme="majorBidi" w:cstheme="majorBidi"/>
          <w:b/>
          <w:bCs/>
          <w:spacing w:val="4"/>
          <w:position w:val="-4"/>
          <w:sz w:val="20"/>
          <w:szCs w:val="20"/>
        </w:rPr>
        <w:t></w:t>
      </w:r>
      <w:r w:rsidRPr="00E5161B">
        <w:rPr>
          <w:rFonts w:asciiTheme="majorBidi" w:hAnsiTheme="majorBidi" w:cstheme="majorBidi"/>
          <w:b/>
          <w:bCs/>
          <w:sz w:val="20"/>
          <w:szCs w:val="20"/>
          <w:rtl/>
        </w:rPr>
        <w:t>، وسند هذا الحديث كما ذكره العلماء</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w:t>
      </w:r>
      <w:r w:rsidRPr="00E5161B">
        <w:rPr>
          <w:rFonts w:asciiTheme="majorBidi" w:hAnsiTheme="majorBidi" w:cstheme="majorBidi"/>
          <w:b/>
          <w:bCs/>
          <w:sz w:val="20"/>
          <w:szCs w:val="20"/>
          <w:rtl/>
          <w:lang w:bidi="ar-EG"/>
        </w:rPr>
        <w:t>ف</w:t>
      </w:r>
      <w:r w:rsidRPr="00E5161B">
        <w:rPr>
          <w:rFonts w:asciiTheme="majorBidi" w:hAnsiTheme="majorBidi" w:cstheme="majorBidi"/>
          <w:b/>
          <w:bCs/>
          <w:sz w:val="20"/>
          <w:szCs w:val="20"/>
          <w:rtl/>
        </w:rPr>
        <w:t>قد بحث مؤمل بن إسماعيل حتى وصل إلى من اعترف بوضعه، قال مؤمل: حدثني شيخٌ بهذا الحديث، هذا أصل الحديث المنسوب كذبًا إلى أُبي، قال مؤمل: حدثني شيخ بهذا الحديث، فقلتُ له: من حدَّثَكَ بهذا؟ قال: رجل بالمدائن، وهو حي فسرتُ إليهِ، فَقُلْتُ: من حدَّثَكَ بِهَذا؟ قال: حدثني شيخ بواسط، فسرتُ إليه فقلتُ: من حدَّثَكَ بِهَذا؟ قال: حدثني شيخٌ بالبصرة، فسرتُ إليه فقلتُ: من حدَّثَكَ بِهَذا؟ قال: حدثني شيخ بعبَّادَان، فسرتُ إليه فأخذ بيدي، فأدخلني بيتًا، فإذا فيه قومٌ من المتصوفةِ ومعهم شيخ، فقال: هذا الشيخ هو الذي حدثني، فسألته قلت: يا شيخ من حدَّثَكَ بهذا؟ قال: لم يحدثن</w:t>
      </w:r>
      <w:r w:rsidRPr="00E5161B">
        <w:rPr>
          <w:rFonts w:asciiTheme="majorBidi" w:hAnsiTheme="majorBidi" w:cstheme="majorBidi"/>
          <w:b/>
          <w:bCs/>
          <w:sz w:val="20"/>
          <w:szCs w:val="20"/>
          <w:rtl/>
          <w:lang w:bidi="ar-EG"/>
        </w:rPr>
        <w:t>ي</w:t>
      </w:r>
      <w:r w:rsidRPr="00E5161B">
        <w:rPr>
          <w:rFonts w:asciiTheme="majorBidi" w:hAnsiTheme="majorBidi" w:cstheme="majorBidi"/>
          <w:b/>
          <w:bCs/>
          <w:sz w:val="20"/>
          <w:szCs w:val="20"/>
          <w:rtl/>
        </w:rPr>
        <w:t xml:space="preserve"> أحد. ولكنا رأينا الناس قد رغبوا عن القرآن </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أي: انصرفوا عنه</w:t>
      </w:r>
      <w:r w:rsidRPr="00E5161B">
        <w:rPr>
          <w:rFonts w:asciiTheme="majorBidi" w:hAnsiTheme="majorBidi" w:cstheme="majorBidi"/>
          <w:b/>
          <w:bCs/>
          <w:sz w:val="20"/>
          <w:szCs w:val="20"/>
          <w:rtl/>
          <w:lang w:bidi="ar-EG"/>
        </w:rPr>
        <w:t>-</w:t>
      </w:r>
      <w:r w:rsidRPr="00E5161B">
        <w:rPr>
          <w:rFonts w:asciiTheme="majorBidi" w:hAnsiTheme="majorBidi" w:cstheme="majorBidi"/>
          <w:b/>
          <w:bCs/>
          <w:sz w:val="20"/>
          <w:szCs w:val="20"/>
          <w:rtl/>
        </w:rPr>
        <w:t xml:space="preserve"> فوضَعْنَا لَهُم هذا الحديث؛ ليصرفوا قلوبهم إلى القرآن.</w:t>
      </w:r>
    </w:p>
    <w:p w:rsidR="00C766C4" w:rsidRDefault="00C766C4" w:rsidP="00D727CA">
      <w:pPr>
        <w:spacing w:after="120"/>
        <w:jc w:val="center"/>
        <w:rPr>
          <w:rFonts w:asciiTheme="majorBidi" w:hAnsiTheme="majorBidi" w:cstheme="majorBidi"/>
          <w:b/>
          <w:bCs/>
          <w:sz w:val="20"/>
          <w:szCs w:val="20"/>
          <w:rtl/>
        </w:rPr>
      </w:pPr>
    </w:p>
    <w:p w:rsidR="00C766C4" w:rsidRDefault="00C766C4" w:rsidP="00D727CA">
      <w:pPr>
        <w:spacing w:after="120"/>
        <w:jc w:val="center"/>
        <w:rPr>
          <w:rFonts w:asciiTheme="majorBidi" w:hAnsiTheme="majorBidi" w:cstheme="majorBidi"/>
          <w:b/>
          <w:bCs/>
          <w:sz w:val="20"/>
          <w:szCs w:val="20"/>
          <w:rtl/>
        </w:rPr>
      </w:pPr>
    </w:p>
    <w:p w:rsidR="00C766C4" w:rsidRDefault="00C766C4" w:rsidP="00D727CA">
      <w:pPr>
        <w:spacing w:after="120"/>
        <w:jc w:val="center"/>
        <w:rPr>
          <w:rFonts w:asciiTheme="majorBidi" w:hAnsiTheme="majorBidi" w:cstheme="majorBidi"/>
          <w:b/>
          <w:bCs/>
          <w:sz w:val="20"/>
          <w:szCs w:val="20"/>
          <w:rtl/>
        </w:rPr>
      </w:pPr>
    </w:p>
    <w:p w:rsidR="00D727CA" w:rsidRPr="00E5161B" w:rsidRDefault="00D727CA" w:rsidP="00D727CA">
      <w:pPr>
        <w:spacing w:after="120"/>
        <w:jc w:val="center"/>
        <w:rPr>
          <w:rFonts w:asciiTheme="majorBidi" w:hAnsiTheme="majorBidi" w:cstheme="majorBidi"/>
          <w:b/>
          <w:bCs/>
          <w:sz w:val="20"/>
          <w:szCs w:val="20"/>
          <w:rtl/>
        </w:rPr>
      </w:pPr>
      <w:r w:rsidRPr="00E5161B">
        <w:rPr>
          <w:rFonts w:asciiTheme="majorBidi" w:hAnsiTheme="majorBidi" w:cstheme="majorBidi"/>
          <w:b/>
          <w:bCs/>
          <w:sz w:val="20"/>
          <w:szCs w:val="20"/>
          <w:rtl/>
        </w:rPr>
        <w:lastRenderedPageBreak/>
        <w:t>المصادر والمراجع</w:t>
      </w:r>
    </w:p>
    <w:p w:rsidR="00D727CA" w:rsidRPr="00E5161B" w:rsidRDefault="00D727CA" w:rsidP="00D727CA">
      <w:pPr>
        <w:numPr>
          <w:ilvl w:val="0"/>
          <w:numId w:val="2"/>
        </w:numPr>
        <w:spacing w:after="120"/>
        <w:jc w:val="both"/>
        <w:rPr>
          <w:rFonts w:asciiTheme="majorBidi" w:hAnsiTheme="majorBidi" w:cstheme="majorBidi"/>
          <w:b/>
          <w:bCs/>
          <w:sz w:val="20"/>
          <w:szCs w:val="20"/>
          <w:rtl/>
        </w:rPr>
      </w:pPr>
      <w:r w:rsidRPr="00E5161B">
        <w:rPr>
          <w:rFonts w:asciiTheme="majorBidi" w:hAnsiTheme="majorBidi" w:cstheme="majorBidi"/>
          <w:b/>
          <w:bCs/>
          <w:sz w:val="20"/>
          <w:szCs w:val="20"/>
          <w:rtl/>
        </w:rPr>
        <w:t>المحمدي عبد الرحمن، (الدخيل في التفسير) ، القاهرة،  جامعة الأزهر، مطبعة حسان، 2009م.</w:t>
      </w:r>
    </w:p>
    <w:p w:rsidR="00D727CA" w:rsidRPr="00E5161B" w:rsidRDefault="00D727CA" w:rsidP="00D727CA">
      <w:pPr>
        <w:numPr>
          <w:ilvl w:val="0"/>
          <w:numId w:val="2"/>
        </w:numPr>
        <w:spacing w:after="120"/>
        <w:jc w:val="both"/>
        <w:rPr>
          <w:rFonts w:asciiTheme="majorBidi" w:hAnsiTheme="majorBidi" w:cstheme="majorBidi"/>
          <w:b/>
          <w:bCs/>
          <w:sz w:val="20"/>
          <w:szCs w:val="20"/>
          <w:rtl/>
        </w:rPr>
      </w:pPr>
      <w:r w:rsidRPr="00E5161B">
        <w:rPr>
          <w:rFonts w:asciiTheme="majorBidi" w:hAnsiTheme="majorBidi" w:cstheme="majorBidi"/>
          <w:b/>
          <w:bCs/>
          <w:sz w:val="20"/>
          <w:szCs w:val="20"/>
          <w:rtl/>
        </w:rPr>
        <w:t>الذهبي، محمد حسين الذهبي،  (التفسير والمفسرون) ، طبعة دار الأرقم، 1999م.</w:t>
      </w:r>
    </w:p>
    <w:p w:rsidR="00D727CA" w:rsidRPr="00E5161B" w:rsidRDefault="00D727CA" w:rsidP="00D727CA">
      <w:pPr>
        <w:numPr>
          <w:ilvl w:val="0"/>
          <w:numId w:val="2"/>
        </w:numPr>
        <w:spacing w:after="120"/>
        <w:jc w:val="both"/>
        <w:rPr>
          <w:rFonts w:asciiTheme="majorBidi" w:hAnsiTheme="majorBidi" w:cstheme="majorBidi"/>
          <w:b/>
          <w:bCs/>
          <w:sz w:val="20"/>
          <w:szCs w:val="20"/>
        </w:rPr>
      </w:pPr>
      <w:r w:rsidRPr="00E5161B">
        <w:rPr>
          <w:rFonts w:asciiTheme="majorBidi" w:hAnsiTheme="majorBidi" w:cstheme="majorBidi"/>
          <w:b/>
          <w:bCs/>
          <w:sz w:val="20"/>
          <w:szCs w:val="20"/>
          <w:rtl/>
        </w:rPr>
        <w:t>الذهبي، محمد حسين الذهبي،  (الإسرائيليات في التفسير والحديث) ، طبعة مكتبة وهبة، 1990م.</w:t>
      </w:r>
    </w:p>
    <w:p w:rsidR="00D727CA" w:rsidRPr="00E5161B" w:rsidRDefault="00D727CA" w:rsidP="00D727CA">
      <w:pPr>
        <w:numPr>
          <w:ilvl w:val="0"/>
          <w:numId w:val="2"/>
        </w:numPr>
        <w:spacing w:after="120"/>
        <w:jc w:val="both"/>
        <w:rPr>
          <w:rFonts w:asciiTheme="majorBidi" w:hAnsiTheme="majorBidi" w:cstheme="majorBidi"/>
          <w:b/>
          <w:bCs/>
          <w:sz w:val="20"/>
          <w:szCs w:val="20"/>
        </w:rPr>
      </w:pPr>
      <w:r w:rsidRPr="00E5161B">
        <w:rPr>
          <w:rFonts w:asciiTheme="majorBidi" w:hAnsiTheme="majorBidi" w:cstheme="majorBidi"/>
          <w:b/>
          <w:bCs/>
          <w:sz w:val="20"/>
          <w:szCs w:val="20"/>
          <w:rtl/>
        </w:rPr>
        <w:t xml:space="preserve">شليوه، سمير شليوه،  (الدخيل والإسرائيليات) ، القاهرة، جامعة الأزهر </w:t>
      </w:r>
    </w:p>
    <w:p w:rsidR="00D727CA" w:rsidRPr="00E5161B" w:rsidRDefault="00D727CA" w:rsidP="00D727CA">
      <w:pPr>
        <w:numPr>
          <w:ilvl w:val="0"/>
          <w:numId w:val="2"/>
        </w:numPr>
        <w:spacing w:after="120"/>
        <w:jc w:val="both"/>
        <w:rPr>
          <w:rFonts w:asciiTheme="majorBidi" w:hAnsiTheme="majorBidi" w:cstheme="majorBidi"/>
          <w:b/>
          <w:bCs/>
          <w:sz w:val="20"/>
          <w:szCs w:val="20"/>
        </w:rPr>
      </w:pPr>
      <w:r w:rsidRPr="00E5161B">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D727CA" w:rsidRPr="00E5161B" w:rsidRDefault="00D727CA" w:rsidP="00D727CA">
      <w:pPr>
        <w:numPr>
          <w:ilvl w:val="0"/>
          <w:numId w:val="2"/>
        </w:numPr>
        <w:spacing w:after="120"/>
        <w:jc w:val="both"/>
        <w:rPr>
          <w:rFonts w:asciiTheme="majorBidi" w:hAnsiTheme="majorBidi" w:cstheme="majorBidi"/>
          <w:b/>
          <w:bCs/>
          <w:sz w:val="20"/>
          <w:szCs w:val="20"/>
        </w:rPr>
      </w:pPr>
      <w:r w:rsidRPr="00E5161B">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D727CA" w:rsidRPr="00E5161B" w:rsidRDefault="00D727CA" w:rsidP="00D727CA">
      <w:pPr>
        <w:numPr>
          <w:ilvl w:val="0"/>
          <w:numId w:val="2"/>
        </w:numPr>
        <w:spacing w:after="120"/>
        <w:jc w:val="both"/>
        <w:rPr>
          <w:rFonts w:asciiTheme="majorBidi" w:hAnsiTheme="majorBidi" w:cstheme="majorBidi"/>
          <w:b/>
          <w:bCs/>
          <w:sz w:val="20"/>
          <w:szCs w:val="20"/>
        </w:rPr>
      </w:pPr>
      <w:r w:rsidRPr="00E5161B">
        <w:rPr>
          <w:rFonts w:asciiTheme="majorBidi" w:hAnsiTheme="majorBidi" w:cstheme="majorBidi"/>
          <w:b/>
          <w:bCs/>
          <w:sz w:val="20"/>
          <w:szCs w:val="20"/>
          <w:rtl/>
        </w:rPr>
        <w:t>الشهرستاني، محمد بن عبد الكريم الشهرستاني،  (الملل والنحل) ، طبعة دار الفكر، 2001م.</w:t>
      </w:r>
    </w:p>
    <w:p w:rsidR="00D727CA" w:rsidRPr="00E5161B" w:rsidRDefault="00D727CA" w:rsidP="00D727CA">
      <w:pPr>
        <w:numPr>
          <w:ilvl w:val="0"/>
          <w:numId w:val="2"/>
        </w:numPr>
        <w:spacing w:after="120"/>
        <w:jc w:val="both"/>
        <w:rPr>
          <w:rFonts w:asciiTheme="majorBidi" w:hAnsiTheme="majorBidi" w:cstheme="majorBidi"/>
          <w:b/>
          <w:bCs/>
          <w:sz w:val="20"/>
          <w:szCs w:val="20"/>
        </w:rPr>
      </w:pPr>
      <w:r w:rsidRPr="00E5161B">
        <w:rPr>
          <w:rFonts w:asciiTheme="majorBidi" w:hAnsiTheme="majorBidi" w:cstheme="majorBidi"/>
          <w:b/>
          <w:bCs/>
          <w:sz w:val="20"/>
          <w:szCs w:val="20"/>
          <w:rtl/>
        </w:rPr>
        <w:t>محمد الخضر حسين، (البابية أو البهائية) ،مجمع البحوث الإسلامية</w:t>
      </w:r>
    </w:p>
    <w:p w:rsidR="00D727CA" w:rsidRPr="00E5161B" w:rsidRDefault="00D727CA" w:rsidP="00D727CA">
      <w:pPr>
        <w:numPr>
          <w:ilvl w:val="0"/>
          <w:numId w:val="2"/>
        </w:numPr>
        <w:spacing w:after="120"/>
        <w:jc w:val="both"/>
        <w:rPr>
          <w:rFonts w:asciiTheme="majorBidi" w:hAnsiTheme="majorBidi" w:cstheme="majorBidi"/>
          <w:b/>
          <w:bCs/>
          <w:sz w:val="20"/>
          <w:szCs w:val="20"/>
        </w:rPr>
      </w:pPr>
      <w:r w:rsidRPr="00E5161B">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D727CA" w:rsidRPr="00E5161B" w:rsidRDefault="00D727CA" w:rsidP="00D727CA">
      <w:pPr>
        <w:numPr>
          <w:ilvl w:val="0"/>
          <w:numId w:val="2"/>
        </w:numPr>
        <w:spacing w:after="120"/>
        <w:jc w:val="both"/>
        <w:rPr>
          <w:rFonts w:asciiTheme="majorBidi" w:hAnsiTheme="majorBidi" w:cstheme="majorBidi"/>
          <w:b/>
          <w:bCs/>
          <w:sz w:val="20"/>
          <w:szCs w:val="20"/>
        </w:rPr>
      </w:pPr>
      <w:r w:rsidRPr="00E5161B">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D727CA" w:rsidRPr="00E5161B" w:rsidRDefault="00D727CA" w:rsidP="00D727CA">
      <w:pPr>
        <w:numPr>
          <w:ilvl w:val="0"/>
          <w:numId w:val="2"/>
        </w:numPr>
        <w:spacing w:after="120"/>
        <w:jc w:val="both"/>
        <w:rPr>
          <w:rFonts w:asciiTheme="majorBidi" w:hAnsiTheme="majorBidi" w:cstheme="majorBidi"/>
          <w:b/>
          <w:bCs/>
          <w:sz w:val="20"/>
          <w:szCs w:val="20"/>
          <w:rtl/>
        </w:rPr>
      </w:pPr>
      <w:r w:rsidRPr="00E5161B">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D727CA" w:rsidRPr="00E5161B" w:rsidRDefault="00D727CA" w:rsidP="00D727CA">
      <w:pPr>
        <w:numPr>
          <w:ilvl w:val="0"/>
          <w:numId w:val="2"/>
        </w:numPr>
        <w:spacing w:after="120"/>
        <w:jc w:val="both"/>
        <w:rPr>
          <w:rFonts w:asciiTheme="majorBidi" w:hAnsiTheme="majorBidi" w:cstheme="majorBidi"/>
          <w:b/>
          <w:bCs/>
          <w:sz w:val="20"/>
          <w:szCs w:val="20"/>
        </w:rPr>
      </w:pPr>
      <w:r w:rsidRPr="00E5161B">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D727CA" w:rsidRPr="00E5161B" w:rsidRDefault="00D727CA" w:rsidP="00D727CA">
      <w:pPr>
        <w:rPr>
          <w:i/>
          <w:iCs/>
          <w:sz w:val="20"/>
          <w:szCs w:val="20"/>
          <w:rtl/>
        </w:rPr>
        <w:sectPr w:rsidR="00D727CA" w:rsidRPr="00E5161B" w:rsidSect="00D727CA">
          <w:type w:val="continuous"/>
          <w:pgSz w:w="11906" w:h="16838"/>
          <w:pgMar w:top="964" w:right="1021" w:bottom="964" w:left="1021" w:header="709" w:footer="709" w:gutter="0"/>
          <w:cols w:num="2" w:space="708"/>
          <w:bidi/>
          <w:rtlGutter/>
          <w:docGrid w:linePitch="360"/>
        </w:sectPr>
      </w:pPr>
    </w:p>
    <w:p w:rsidR="00D727CA" w:rsidRPr="00E5161B" w:rsidRDefault="00D727CA" w:rsidP="00D727CA">
      <w:pPr>
        <w:rPr>
          <w:i/>
          <w:iCs/>
          <w:sz w:val="20"/>
          <w:szCs w:val="20"/>
        </w:rPr>
      </w:pPr>
    </w:p>
    <w:sectPr w:rsidR="00D727CA" w:rsidRPr="00E5161B" w:rsidSect="00D727CA">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603">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188">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B71A180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D727CA"/>
    <w:rsid w:val="00514443"/>
    <w:rsid w:val="006532A8"/>
    <w:rsid w:val="008E6C9A"/>
    <w:rsid w:val="009556CB"/>
    <w:rsid w:val="00BF7572"/>
    <w:rsid w:val="00C36023"/>
    <w:rsid w:val="00C766C4"/>
    <w:rsid w:val="00D727CA"/>
    <w:rsid w:val="00DD6B83"/>
    <w:rsid w:val="00E516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D727CA"/>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D727C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727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2013-06-20T07:50:00Z</dcterms:created>
  <dcterms:modified xsi:type="dcterms:W3CDTF">2013-06-26T08:11:00Z</dcterms:modified>
</cp:coreProperties>
</file>