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8AE" w:rsidRPr="00C7624B" w:rsidRDefault="004008AE" w:rsidP="00C7624B">
      <w:pPr>
        <w:jc w:val="center"/>
        <w:rPr>
          <w:rFonts w:asciiTheme="majorBidi" w:eastAsia="Calibri" w:hAnsiTheme="majorBidi" w:cstheme="majorBidi"/>
          <w:b/>
          <w:bCs/>
          <w:i/>
          <w:iCs/>
          <w:sz w:val="44"/>
          <w:szCs w:val="44"/>
          <w:rtl/>
        </w:rPr>
      </w:pPr>
      <w:r w:rsidRPr="00C7624B">
        <w:rPr>
          <w:rFonts w:asciiTheme="majorBidi" w:eastAsia="Calibri" w:hAnsiTheme="majorBidi" w:cstheme="majorBidi"/>
          <w:b/>
          <w:bCs/>
          <w:i/>
          <w:iCs/>
          <w:sz w:val="44"/>
          <w:szCs w:val="44"/>
          <w:rtl/>
        </w:rPr>
        <w:t>الرد على الجبرية</w:t>
      </w:r>
    </w:p>
    <w:p w:rsidR="004008AE" w:rsidRDefault="00C7624B" w:rsidP="00C7624B">
      <w:pPr>
        <w:jc w:val="center"/>
        <w:rPr>
          <w:rFonts w:asciiTheme="majorBidi" w:eastAsia="Calibri" w:hAnsiTheme="majorBidi" w:cstheme="majorBidi" w:hint="cs"/>
          <w:b/>
          <w:bCs/>
          <w:i/>
          <w:iCs/>
          <w:sz w:val="18"/>
          <w:szCs w:val="18"/>
          <w:rtl/>
          <w:lang w:bidi="ar-EG"/>
        </w:rPr>
      </w:pPr>
      <w:r w:rsidRPr="00C7624B">
        <w:rPr>
          <w:rFonts w:asciiTheme="majorBidi" w:hAnsiTheme="majorBidi" w:cstheme="majorBidi" w:hint="cs"/>
          <w:b/>
          <w:bCs/>
          <w:i/>
          <w:iCs/>
          <w:sz w:val="18"/>
          <w:szCs w:val="18"/>
          <w:rtl/>
        </w:rPr>
        <w:t>بحث فى :</w:t>
      </w:r>
      <w:r w:rsidR="004008AE" w:rsidRPr="00C7624B">
        <w:rPr>
          <w:rFonts w:asciiTheme="majorBidi" w:eastAsia="Calibri" w:hAnsiTheme="majorBidi" w:cstheme="majorBidi" w:hint="cs"/>
          <w:b/>
          <w:bCs/>
          <w:i/>
          <w:iCs/>
          <w:sz w:val="18"/>
          <w:szCs w:val="18"/>
          <w:rtl/>
          <w:lang w:bidi="ar-EG"/>
        </w:rPr>
        <w:t>بقية الفرق المنتسبه للاسلام</w:t>
      </w:r>
    </w:p>
    <w:p w:rsidR="00104334" w:rsidRDefault="00104334" w:rsidP="00C7624B">
      <w:pPr>
        <w:jc w:val="center"/>
        <w:rPr>
          <w:rFonts w:asciiTheme="majorBidi" w:eastAsia="Calibri" w:hAnsiTheme="majorBidi" w:cstheme="majorBidi" w:hint="cs"/>
          <w:b/>
          <w:bCs/>
          <w:i/>
          <w:iCs/>
          <w:sz w:val="18"/>
          <w:szCs w:val="18"/>
          <w:rtl/>
          <w:lang w:bidi="ar-EG"/>
        </w:rPr>
      </w:pPr>
    </w:p>
    <w:p w:rsidR="00104334" w:rsidRPr="00C7624B" w:rsidRDefault="00104334" w:rsidP="00C7624B">
      <w:pPr>
        <w:jc w:val="center"/>
        <w:rPr>
          <w:rFonts w:asciiTheme="majorBidi" w:eastAsia="Calibri" w:hAnsiTheme="majorBidi" w:cstheme="majorBidi"/>
          <w:b/>
          <w:bCs/>
          <w:i/>
          <w:iCs/>
          <w:color w:val="4F81BD"/>
          <w:sz w:val="18"/>
          <w:szCs w:val="18"/>
          <w:rtl/>
          <w:lang w:bidi="ar-EG"/>
        </w:rPr>
      </w:pPr>
    </w:p>
    <w:p w:rsidR="004008AE" w:rsidRPr="00104334" w:rsidRDefault="004008AE" w:rsidP="00104334">
      <w:pPr>
        <w:pStyle w:val="Author"/>
        <w:bidi/>
        <w:spacing w:before="0" w:after="0"/>
        <w:rPr>
          <w:rFonts w:asciiTheme="majorBidi" w:hAnsiTheme="majorBidi" w:cstheme="majorBidi"/>
          <w:b/>
          <w:bCs/>
          <w:i/>
          <w:iCs/>
          <w:sz w:val="18"/>
          <w:szCs w:val="18"/>
          <w:lang w:eastAsia="zh-CN"/>
        </w:rPr>
      </w:pPr>
      <w:r w:rsidRPr="00C7624B">
        <w:rPr>
          <w:rFonts w:asciiTheme="majorBidi" w:hAnsiTheme="majorBidi" w:cstheme="majorBidi"/>
          <w:b/>
          <w:bCs/>
          <w:i/>
          <w:iCs/>
          <w:sz w:val="18"/>
          <w:szCs w:val="18"/>
          <w:rtl/>
        </w:rPr>
        <w:t>إ</w:t>
      </w:r>
      <w:r w:rsidRPr="00C7624B">
        <w:rPr>
          <w:rFonts w:asciiTheme="majorBidi" w:hAnsiTheme="majorBidi" w:cstheme="majorBidi"/>
          <w:b/>
          <w:bCs/>
          <w:i/>
          <w:iCs/>
          <w:sz w:val="18"/>
          <w:szCs w:val="18"/>
          <w:rtl/>
          <w:lang w:eastAsia="zh-CN"/>
        </w:rPr>
        <w:t xml:space="preserve">عداد / </w:t>
      </w:r>
      <w:r w:rsidR="00104334" w:rsidRPr="00104334">
        <w:rPr>
          <w:rFonts w:asciiTheme="majorBidi" w:hAnsiTheme="majorBidi" w:cstheme="majorBidi" w:hint="cs"/>
          <w:b/>
          <w:bCs/>
          <w:i/>
          <w:iCs/>
          <w:sz w:val="18"/>
          <w:szCs w:val="18"/>
          <w:rtl/>
          <w:lang w:eastAsia="zh-CN"/>
        </w:rPr>
        <w:t xml:space="preserve">أحمد عبد الحميد مهدى  </w:t>
      </w:r>
    </w:p>
    <w:p w:rsidR="004008AE" w:rsidRPr="00104334" w:rsidRDefault="004008AE" w:rsidP="00C7624B">
      <w:pPr>
        <w:pStyle w:val="Affiliation"/>
        <w:bidi/>
        <w:rPr>
          <w:rFonts w:asciiTheme="majorBidi" w:hAnsiTheme="majorBidi" w:cstheme="majorBidi"/>
          <w:b/>
          <w:bCs/>
          <w:i/>
          <w:iCs/>
          <w:sz w:val="18"/>
          <w:szCs w:val="18"/>
        </w:rPr>
      </w:pPr>
      <w:r w:rsidRPr="00C7624B">
        <w:rPr>
          <w:rFonts w:asciiTheme="majorBidi" w:hAnsiTheme="majorBidi" w:cstheme="majorBidi"/>
          <w:b/>
          <w:bCs/>
          <w:i/>
          <w:iCs/>
          <w:sz w:val="18"/>
          <w:szCs w:val="18"/>
          <w:rtl/>
        </w:rPr>
        <w:t>قسم الدعوة وأصول الدين</w:t>
      </w:r>
    </w:p>
    <w:p w:rsidR="004008AE" w:rsidRPr="00C7624B" w:rsidRDefault="004008AE" w:rsidP="00C7624B">
      <w:pPr>
        <w:pStyle w:val="Affiliation"/>
        <w:bidi/>
        <w:rPr>
          <w:rFonts w:asciiTheme="majorBidi" w:hAnsiTheme="majorBidi" w:cstheme="majorBidi"/>
          <w:b/>
          <w:bCs/>
          <w:i/>
          <w:iCs/>
          <w:sz w:val="18"/>
          <w:szCs w:val="18"/>
        </w:rPr>
      </w:pPr>
      <w:r w:rsidRPr="00C7624B">
        <w:rPr>
          <w:rFonts w:asciiTheme="majorBidi" w:hAnsiTheme="majorBidi" w:cstheme="majorBidi"/>
          <w:b/>
          <w:bCs/>
          <w:i/>
          <w:iCs/>
          <w:sz w:val="18"/>
          <w:szCs w:val="18"/>
          <w:rtl/>
        </w:rPr>
        <w:t>كلية العلوم الإسلامية – جامعة المدينة العالمية</w:t>
      </w:r>
    </w:p>
    <w:p w:rsidR="004008AE" w:rsidRPr="00C7624B" w:rsidRDefault="004008AE" w:rsidP="00C7624B">
      <w:pPr>
        <w:pStyle w:val="Affiliation"/>
        <w:bidi/>
        <w:rPr>
          <w:rFonts w:asciiTheme="majorBidi" w:hAnsiTheme="majorBidi" w:cstheme="majorBidi"/>
          <w:b/>
          <w:bCs/>
          <w:i/>
          <w:iCs/>
          <w:sz w:val="18"/>
          <w:szCs w:val="18"/>
          <w:rtl/>
        </w:rPr>
      </w:pPr>
      <w:r w:rsidRPr="00C7624B">
        <w:rPr>
          <w:rFonts w:asciiTheme="majorBidi" w:hAnsiTheme="majorBidi" w:cstheme="majorBidi"/>
          <w:b/>
          <w:bCs/>
          <w:i/>
          <w:iCs/>
          <w:sz w:val="18"/>
          <w:szCs w:val="18"/>
          <w:rtl/>
        </w:rPr>
        <w:t>شاه علم - ماليزيا</w:t>
      </w:r>
    </w:p>
    <w:p w:rsidR="004008AE" w:rsidRDefault="00104334" w:rsidP="004008AE">
      <w:pPr>
        <w:tabs>
          <w:tab w:val="left" w:pos="4050"/>
        </w:tabs>
        <w:jc w:val="center"/>
        <w:rPr>
          <w:rFonts w:asciiTheme="majorBidi" w:eastAsia="SimSun" w:hAnsiTheme="majorBidi" w:cstheme="majorBidi" w:hint="cs"/>
          <w:b/>
          <w:bCs/>
          <w:i/>
          <w:iCs/>
          <w:sz w:val="18"/>
          <w:szCs w:val="18"/>
          <w:rtl/>
          <w:lang w:eastAsia="zh-CN"/>
        </w:rPr>
      </w:pPr>
      <w:hyperlink r:id="rId8" w:history="1">
        <w:r w:rsidRPr="00104334">
          <w:rPr>
            <w:rFonts w:asciiTheme="majorBidi" w:eastAsia="SimSun" w:hAnsiTheme="majorBidi" w:cstheme="majorBidi"/>
            <w:b/>
            <w:bCs/>
            <w:i/>
            <w:iCs/>
            <w:sz w:val="18"/>
            <w:szCs w:val="18"/>
            <w:lang w:eastAsia="zh-CN"/>
          </w:rPr>
          <w:t>ahmed.mahdey@mediu.ws</w:t>
        </w:r>
      </w:hyperlink>
    </w:p>
    <w:p w:rsidR="000D3D1A" w:rsidRDefault="000D3D1A" w:rsidP="004008AE">
      <w:pPr>
        <w:tabs>
          <w:tab w:val="left" w:pos="4050"/>
        </w:tabs>
        <w:jc w:val="center"/>
        <w:rPr>
          <w:rFonts w:asciiTheme="majorBidi" w:eastAsia="SimSun" w:hAnsiTheme="majorBidi" w:cstheme="majorBidi" w:hint="cs"/>
          <w:b/>
          <w:bCs/>
          <w:i/>
          <w:iCs/>
          <w:sz w:val="18"/>
          <w:szCs w:val="18"/>
          <w:rtl/>
          <w:lang w:eastAsia="zh-CN"/>
        </w:rPr>
      </w:pPr>
    </w:p>
    <w:p w:rsidR="000D3D1A" w:rsidRPr="00104334" w:rsidRDefault="000D3D1A" w:rsidP="004008AE">
      <w:pPr>
        <w:tabs>
          <w:tab w:val="left" w:pos="4050"/>
        </w:tabs>
        <w:jc w:val="center"/>
        <w:rPr>
          <w:rFonts w:asciiTheme="majorBidi" w:eastAsia="SimSun" w:hAnsiTheme="majorBidi" w:cstheme="majorBidi"/>
          <w:b/>
          <w:bCs/>
          <w:i/>
          <w:iCs/>
          <w:sz w:val="18"/>
          <w:szCs w:val="18"/>
          <w:lang w:eastAsia="zh-CN"/>
        </w:rPr>
      </w:pPr>
    </w:p>
    <w:p w:rsidR="004008AE" w:rsidRDefault="004008AE" w:rsidP="004008AE">
      <w:pPr>
        <w:jc w:val="right"/>
        <w:rPr>
          <w:rFonts w:asciiTheme="majorBidi" w:hAnsiTheme="majorBidi" w:cstheme="majorBidi"/>
          <w:b/>
          <w:bCs/>
          <w:sz w:val="18"/>
          <w:szCs w:val="18"/>
          <w:rtl/>
        </w:rPr>
        <w:sectPr w:rsidR="004008AE" w:rsidSect="004008AE">
          <w:headerReference w:type="even" r:id="rId9"/>
          <w:footerReference w:type="even" r:id="rId10"/>
          <w:pgSz w:w="11906" w:h="16838" w:code="9"/>
          <w:pgMar w:top="709" w:right="991" w:bottom="568" w:left="993" w:header="709" w:footer="709" w:gutter="0"/>
          <w:cols w:space="708"/>
          <w:titlePg/>
          <w:bidi/>
          <w:docGrid w:linePitch="360"/>
        </w:sectPr>
      </w:pPr>
    </w:p>
    <w:p w:rsidR="004008AE" w:rsidRPr="004008AE" w:rsidRDefault="00C7624B" w:rsidP="004008AE">
      <w:pPr>
        <w:jc w:val="right"/>
        <w:rPr>
          <w:rFonts w:asciiTheme="majorBidi" w:eastAsia="Calibri" w:hAnsiTheme="majorBidi" w:cstheme="majorBidi"/>
          <w:b/>
          <w:bCs/>
          <w:sz w:val="18"/>
          <w:szCs w:val="18"/>
        </w:rPr>
      </w:pPr>
      <w:r>
        <w:rPr>
          <w:rFonts w:asciiTheme="majorBidi" w:hAnsiTheme="majorBidi" w:cstheme="majorBidi" w:hint="cs"/>
          <w:b/>
          <w:bCs/>
          <w:sz w:val="18"/>
          <w:szCs w:val="18"/>
          <w:rtl/>
        </w:rPr>
        <w:lastRenderedPageBreak/>
        <w:t>خلاصة هذا البحث فى :</w:t>
      </w:r>
      <w:r w:rsidRPr="00916DA5">
        <w:rPr>
          <w:rFonts w:asciiTheme="majorBidi" w:hAnsiTheme="majorBidi" w:cstheme="majorBidi"/>
          <w:b/>
          <w:bCs/>
          <w:sz w:val="18"/>
          <w:szCs w:val="18"/>
          <w:rtl/>
        </w:rPr>
        <w:t xml:space="preserve"> </w:t>
      </w:r>
      <w:r w:rsidR="004008AE" w:rsidRPr="004008AE">
        <w:rPr>
          <w:rFonts w:asciiTheme="majorBidi" w:eastAsia="Calibri" w:hAnsiTheme="majorBidi" w:cstheme="majorBidi"/>
          <w:b/>
          <w:bCs/>
          <w:sz w:val="18"/>
          <w:szCs w:val="18"/>
          <w:rtl/>
        </w:rPr>
        <w:t>الرد على الجبرية</w:t>
      </w:r>
    </w:p>
    <w:p w:rsidR="004008AE" w:rsidRPr="004008AE" w:rsidRDefault="004008AE" w:rsidP="00C7624B">
      <w:pPr>
        <w:jc w:val="right"/>
        <w:rPr>
          <w:rFonts w:asciiTheme="majorBidi" w:eastAsia="Calibri" w:hAnsiTheme="majorBidi" w:cstheme="majorBidi"/>
          <w:b/>
          <w:bCs/>
          <w:sz w:val="18"/>
          <w:szCs w:val="18"/>
          <w:rtl/>
        </w:rPr>
      </w:pPr>
      <w:r w:rsidRPr="004008AE">
        <w:rPr>
          <w:rFonts w:asciiTheme="majorBidi" w:eastAsia="Calibri" w:hAnsiTheme="majorBidi" w:cstheme="majorBidi"/>
          <w:b/>
          <w:bCs/>
          <w:sz w:val="18"/>
          <w:szCs w:val="18"/>
          <w:rtl/>
        </w:rPr>
        <w:t>الكلمات</w:t>
      </w:r>
      <w:r w:rsidR="00C7624B">
        <w:rPr>
          <w:rFonts w:asciiTheme="majorBidi" w:eastAsia="Calibri" w:hAnsiTheme="majorBidi" w:cstheme="majorBidi" w:hint="cs"/>
          <w:b/>
          <w:bCs/>
          <w:sz w:val="18"/>
          <w:szCs w:val="18"/>
          <w:rtl/>
        </w:rPr>
        <w:t xml:space="preserve"> الافتتاحيه: </w:t>
      </w:r>
      <w:r w:rsidRPr="004008AE">
        <w:rPr>
          <w:rFonts w:asciiTheme="majorBidi" w:eastAsia="Calibri" w:hAnsiTheme="majorBidi" w:cstheme="majorBidi" w:hint="cs"/>
          <w:b/>
          <w:bCs/>
          <w:sz w:val="18"/>
          <w:szCs w:val="18"/>
          <w:rtl/>
        </w:rPr>
        <w:t>الجبريه ، العباد، مجبرون</w:t>
      </w:r>
    </w:p>
    <w:p w:rsidR="004008AE" w:rsidRPr="00C7624B" w:rsidRDefault="004008AE" w:rsidP="004008AE">
      <w:pPr>
        <w:pStyle w:val="ListParagraph"/>
        <w:numPr>
          <w:ilvl w:val="0"/>
          <w:numId w:val="2"/>
        </w:numPr>
        <w:spacing w:line="240" w:lineRule="auto"/>
        <w:ind w:left="643" w:hanging="90"/>
        <w:jc w:val="center"/>
        <w:rPr>
          <w:rFonts w:asciiTheme="majorBidi" w:hAnsiTheme="majorBidi" w:cstheme="majorBidi"/>
          <w:b/>
          <w:bCs/>
          <w:i/>
          <w:iCs/>
          <w:sz w:val="20"/>
          <w:szCs w:val="20"/>
          <w:rtl/>
        </w:rPr>
      </w:pPr>
      <w:r w:rsidRPr="00C7624B">
        <w:rPr>
          <w:rFonts w:asciiTheme="majorBidi" w:hAnsiTheme="majorBidi" w:cstheme="majorBidi"/>
          <w:b/>
          <w:bCs/>
          <w:i/>
          <w:iCs/>
          <w:sz w:val="20"/>
          <w:szCs w:val="20"/>
          <w:rtl/>
        </w:rPr>
        <w:t>.المقدمة</w:t>
      </w:r>
    </w:p>
    <w:p w:rsidR="004008AE" w:rsidRPr="004008AE" w:rsidRDefault="004008AE" w:rsidP="004008AE">
      <w:pPr>
        <w:jc w:val="center"/>
        <w:rPr>
          <w:rFonts w:asciiTheme="majorBidi" w:eastAsia="Calibri" w:hAnsiTheme="majorBidi" w:cstheme="majorBidi"/>
          <w:b/>
          <w:bCs/>
          <w:sz w:val="18"/>
          <w:szCs w:val="18"/>
          <w:rtl/>
        </w:rPr>
      </w:pPr>
      <w:r w:rsidRPr="004008AE">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w:t>
      </w:r>
      <w:r w:rsidRPr="004008AE">
        <w:rPr>
          <w:rFonts w:asciiTheme="majorBidi" w:eastAsia="Calibri" w:hAnsiTheme="majorBidi" w:cstheme="majorBidi"/>
          <w:b/>
          <w:bCs/>
          <w:sz w:val="18"/>
          <w:szCs w:val="18"/>
          <w:rtl/>
        </w:rPr>
        <w:t xml:space="preserve"> الرد على الجبرية</w:t>
      </w:r>
    </w:p>
    <w:p w:rsidR="004008AE" w:rsidRPr="004008AE" w:rsidRDefault="004008AE" w:rsidP="004008AE">
      <w:pPr>
        <w:tabs>
          <w:tab w:val="left" w:pos="7233"/>
        </w:tabs>
        <w:rPr>
          <w:rFonts w:asciiTheme="majorBidi" w:hAnsiTheme="majorBidi" w:cstheme="majorBidi"/>
          <w:b/>
          <w:bCs/>
          <w:sz w:val="18"/>
          <w:szCs w:val="18"/>
          <w:rtl/>
        </w:rPr>
      </w:pPr>
      <w:r>
        <w:rPr>
          <w:rFonts w:asciiTheme="majorBidi" w:hAnsiTheme="majorBidi" w:cstheme="majorBidi"/>
          <w:b/>
          <w:bCs/>
          <w:sz w:val="18"/>
          <w:szCs w:val="18"/>
        </w:rPr>
        <w:tab/>
      </w:r>
    </w:p>
    <w:p w:rsidR="004008AE" w:rsidRPr="00916DA5" w:rsidRDefault="004008AE" w:rsidP="004008AE">
      <w:pPr>
        <w:pStyle w:val="ListParagraph"/>
        <w:numPr>
          <w:ilvl w:val="0"/>
          <w:numId w:val="3"/>
        </w:numPr>
        <w:spacing w:line="240" w:lineRule="auto"/>
        <w:ind w:left="733" w:hanging="90"/>
        <w:jc w:val="center"/>
        <w:rPr>
          <w:rFonts w:asciiTheme="majorBidi" w:hAnsiTheme="majorBidi" w:cstheme="majorBidi"/>
          <w:b/>
          <w:bCs/>
          <w:sz w:val="18"/>
          <w:szCs w:val="18"/>
          <w:rtl/>
        </w:rPr>
      </w:pPr>
      <w:r w:rsidRPr="004008AE">
        <w:rPr>
          <w:rFonts w:asciiTheme="majorBidi" w:hAnsiTheme="majorBidi" w:cstheme="majorBidi"/>
          <w:b/>
          <w:bCs/>
          <w:sz w:val="18"/>
          <w:szCs w:val="18"/>
          <w:rtl/>
        </w:rPr>
        <w:t>.</w:t>
      </w:r>
      <w:r w:rsidRPr="00C7624B">
        <w:rPr>
          <w:rFonts w:asciiTheme="majorBidi" w:hAnsiTheme="majorBidi" w:cstheme="majorBidi"/>
          <w:b/>
          <w:bCs/>
          <w:i/>
          <w:iCs/>
          <w:sz w:val="20"/>
          <w:szCs w:val="20"/>
          <w:rtl/>
        </w:rPr>
        <w:t>عنوان المقال</w:t>
      </w:r>
      <w:r w:rsidR="00C7624B" w:rsidRPr="00C7624B">
        <w:rPr>
          <w:rFonts w:asciiTheme="majorBidi" w:hAnsiTheme="majorBidi" w:cstheme="majorBidi" w:hint="cs"/>
          <w:b/>
          <w:bCs/>
          <w:i/>
          <w:iCs/>
          <w:sz w:val="20"/>
          <w:szCs w:val="20"/>
          <w:rtl/>
        </w:rPr>
        <w:t>ة</w:t>
      </w:r>
    </w:p>
    <w:p w:rsidR="004008AE" w:rsidRPr="00C7624B" w:rsidRDefault="004008AE" w:rsidP="004008AE">
      <w:pPr>
        <w:pStyle w:val="NormalWeb"/>
        <w:bidi/>
        <w:ind w:left="0" w:right="0"/>
        <w:jc w:val="lowKashida"/>
        <w:rPr>
          <w:rFonts w:cs="Times New Roman"/>
          <w:sz w:val="18"/>
          <w:szCs w:val="18"/>
        </w:rPr>
      </w:pPr>
      <w:r w:rsidRPr="00C7624B">
        <w:rPr>
          <w:rFonts w:cs="Times New Roman" w:hint="cs"/>
          <w:sz w:val="18"/>
          <w:szCs w:val="18"/>
          <w:rtl/>
        </w:rPr>
        <w:t>.إن الجبرية، لها أدلة تستدل بها على صحة ما ذهبت إليه؛ ولكنها أدلة وضعت في غير موضعها، وفهمت على غير وجهها.</w:t>
      </w:r>
    </w:p>
    <w:p w:rsidR="004008AE" w:rsidRPr="00C7624B" w:rsidRDefault="004008AE" w:rsidP="004008AE">
      <w:pPr>
        <w:pStyle w:val="NormalWeb"/>
        <w:bidi/>
        <w:ind w:left="0" w:right="0"/>
        <w:jc w:val="lowKashida"/>
        <w:rPr>
          <w:rFonts w:cs="Times New Roman"/>
          <w:sz w:val="18"/>
          <w:szCs w:val="18"/>
        </w:rPr>
      </w:pPr>
      <w:r w:rsidRPr="00C7624B">
        <w:rPr>
          <w:rFonts w:cs="Times New Roman" w:hint="cs"/>
          <w:sz w:val="18"/>
          <w:szCs w:val="18"/>
          <w:rtl/>
        </w:rPr>
        <w:t>ونبدأ بأدلتهم على عقيدتهم في أفعال العباد، وأن العباد مجبرون في أفعالهم، والتي هي أساس مذهبهم:</w:t>
      </w:r>
    </w:p>
    <w:p w:rsidR="004008AE" w:rsidRPr="00C7624B" w:rsidRDefault="004008AE" w:rsidP="004008AE">
      <w:pPr>
        <w:pStyle w:val="NormalWeb"/>
        <w:bidi/>
        <w:ind w:left="0" w:right="0"/>
        <w:jc w:val="lowKashida"/>
        <w:rPr>
          <w:rFonts w:cs="Times New Roman"/>
          <w:sz w:val="18"/>
          <w:szCs w:val="18"/>
        </w:rPr>
      </w:pPr>
      <w:r w:rsidRPr="00C7624B">
        <w:rPr>
          <w:rFonts w:cs="Times New Roman" w:hint="cs"/>
          <w:sz w:val="18"/>
          <w:szCs w:val="18"/>
          <w:rtl/>
        </w:rPr>
        <w:t>لهم على هذا المبدأ أدلة نقلية، وأخرى عقلية:</w:t>
      </w:r>
    </w:p>
    <w:p w:rsidR="004008AE" w:rsidRPr="00C7624B" w:rsidRDefault="004008AE" w:rsidP="004008AE">
      <w:pPr>
        <w:pStyle w:val="NormalWeb"/>
        <w:bidi/>
        <w:ind w:left="0" w:right="0"/>
        <w:rPr>
          <w:rFonts w:cs="Times New Roman"/>
          <w:sz w:val="18"/>
          <w:szCs w:val="18"/>
        </w:rPr>
      </w:pPr>
      <w:r w:rsidRPr="00C7624B">
        <w:rPr>
          <w:rFonts w:cs="Times New Roman" w:hint="cs"/>
          <w:sz w:val="18"/>
          <w:szCs w:val="18"/>
          <w:rtl/>
        </w:rPr>
        <w:t>أما الأدلة النقلية: فقد استدلوا بالآيات الدالة على عموم الخلق، ومنها قوله تعالى:</w:t>
      </w:r>
      <w:r w:rsidRPr="00C7624B">
        <w:rPr>
          <w:rFonts w:cs="DecoType Thuluth" w:hint="cs"/>
          <w:sz w:val="18"/>
          <w:szCs w:val="18"/>
          <w:rtl/>
        </w:rPr>
        <w:t>{</w:t>
      </w:r>
      <w:r w:rsidRPr="00C7624B">
        <w:rPr>
          <w:rFonts w:ascii="QCF_P449" w:hAnsi="QCF_P449" w:cs="QCF_P449"/>
          <w:sz w:val="18"/>
          <w:szCs w:val="18"/>
          <w:rtl/>
        </w:rPr>
        <w:t xml:space="preserve"> ﯕ ﯖ ﯗ ﯘ ﯙ</w:t>
      </w:r>
      <w:r w:rsidRPr="00C7624B">
        <w:rPr>
          <w:rFonts w:cs="DecoType Thuluth" w:hint="cs"/>
          <w:sz w:val="18"/>
          <w:szCs w:val="18"/>
          <w:rtl/>
        </w:rPr>
        <w:t xml:space="preserve">} </w:t>
      </w:r>
      <w:r w:rsidRPr="00C7624B">
        <w:rPr>
          <w:rFonts w:cs="Times New Roman" w:hint="cs"/>
          <w:sz w:val="18"/>
          <w:szCs w:val="18"/>
          <w:rtl/>
          <w:lang w:bidi="ar-EG"/>
        </w:rPr>
        <w:t>وبالآيات الدالة على إثبات الإرادة، والاختيار لله تعالى، ونفي ذلك عن العباد، ومن ذلك قول الله سبحانه:</w:t>
      </w:r>
      <w:r w:rsidRPr="00C7624B">
        <w:rPr>
          <w:rFonts w:cs="DecoType Thuluth" w:hint="cs"/>
          <w:sz w:val="18"/>
          <w:szCs w:val="18"/>
          <w:rtl/>
        </w:rPr>
        <w:t>{</w:t>
      </w:r>
      <w:r w:rsidRPr="00C7624B">
        <w:rPr>
          <w:rFonts w:ascii="QCF_P393" w:hAnsi="QCF_P393" w:cs="QCF_P393"/>
          <w:sz w:val="18"/>
          <w:szCs w:val="18"/>
          <w:rtl/>
        </w:rPr>
        <w:t>ﯞ ﯟ ﯠ ﯡ ﯢ ﯣ ﯤ ﯥ ﯦ ﯧ ﯨ ﯩ ﯪ ﯫ ﯬ ﯭ ﯮ</w:t>
      </w:r>
      <w:r w:rsidRPr="00C7624B">
        <w:rPr>
          <w:rFonts w:cs="DecoType Thuluth" w:hint="cs"/>
          <w:sz w:val="18"/>
          <w:szCs w:val="18"/>
          <w:rtl/>
        </w:rPr>
        <w:t>}</w:t>
      </w:r>
      <w:r w:rsidRPr="00C7624B">
        <w:rPr>
          <w:rFonts w:cs="Times New Roman" w:hint="cs"/>
          <w:sz w:val="18"/>
          <w:szCs w:val="18"/>
          <w:rtl/>
        </w:rPr>
        <w:t xml:space="preserve"> [القصص: 68] وقوله -جل وعلا:</w:t>
      </w:r>
      <w:r w:rsidRPr="00C7624B">
        <w:rPr>
          <w:rFonts w:cs="DecoType Thuluth" w:hint="cs"/>
          <w:sz w:val="18"/>
          <w:szCs w:val="18"/>
          <w:rtl/>
        </w:rPr>
        <w:t>{</w:t>
      </w:r>
      <w:r w:rsidRPr="00C7624B">
        <w:rPr>
          <w:rFonts w:ascii="QCF_P580" w:hAnsi="QCF_P580" w:cs="QCF_P580"/>
          <w:sz w:val="18"/>
          <w:szCs w:val="18"/>
          <w:rtl/>
        </w:rPr>
        <w:t xml:space="preserve"> ﭸ ﭹ ﭺ ﭻ ﭼ ﭽ ﭾ ﭿ ﮀ ﮁ ﮂ ﮃ ﮄ</w:t>
      </w:r>
      <w:r w:rsidRPr="00C7624B">
        <w:rPr>
          <w:rFonts w:cs="DecoType Thuluth" w:hint="cs"/>
          <w:sz w:val="18"/>
          <w:szCs w:val="18"/>
          <w:rtl/>
        </w:rPr>
        <w:t>}</w:t>
      </w:r>
      <w:r w:rsidRPr="00C7624B">
        <w:rPr>
          <w:rFonts w:cs="Times New Roman" w:hint="cs"/>
          <w:sz w:val="18"/>
          <w:szCs w:val="18"/>
          <w:rtl/>
        </w:rPr>
        <w:t xml:space="preserve"> [الإنسان: 30].</w:t>
      </w:r>
    </w:p>
    <w:p w:rsidR="004008AE" w:rsidRPr="00C7624B" w:rsidRDefault="004008AE" w:rsidP="004008AE">
      <w:pPr>
        <w:pStyle w:val="NormalWeb"/>
        <w:bidi/>
        <w:ind w:left="0" w:right="0"/>
        <w:jc w:val="lowKashida"/>
        <w:rPr>
          <w:rFonts w:cs="Times New Roman"/>
          <w:spacing w:val="-4"/>
          <w:sz w:val="18"/>
          <w:szCs w:val="18"/>
        </w:rPr>
      </w:pPr>
      <w:r w:rsidRPr="00C7624B">
        <w:rPr>
          <w:rFonts w:cs="Times New Roman" w:hint="cs"/>
          <w:spacing w:val="-4"/>
          <w:sz w:val="18"/>
          <w:szCs w:val="18"/>
          <w:rtl/>
        </w:rPr>
        <w:t>واستدلوا كذلك بالآيات التي تسند الهداية والإضلال إلى الله سبحانه، ومنها قوله تعالى:</w:t>
      </w:r>
      <w:r w:rsidRPr="00C7624B">
        <w:rPr>
          <w:rFonts w:cs="DecoType Thuluth" w:hint="cs"/>
          <w:sz w:val="18"/>
          <w:szCs w:val="18"/>
          <w:rtl/>
        </w:rPr>
        <w:t>{</w:t>
      </w:r>
      <w:r w:rsidRPr="00C7624B">
        <w:rPr>
          <w:rFonts w:ascii="QCF_P255" w:hAnsi="QCF_P255" w:cs="QCF_P255"/>
          <w:spacing w:val="-4"/>
          <w:sz w:val="18"/>
          <w:szCs w:val="18"/>
          <w:rtl/>
        </w:rPr>
        <w:t xml:space="preserve"> ﮖ ﮗ ﮘ ﮙ ﮚ ﮛ ﮜ ﮝ ﮞ ﮟ ﮠ ﮡ ﮢ ﮣ ﮤ ﮥ ﮦ ﮧ ﮨ ﮩ ﮪ ﮫ</w:t>
      </w:r>
      <w:r w:rsidRPr="00C7624B">
        <w:rPr>
          <w:rFonts w:cs="DecoType Thuluth" w:hint="cs"/>
          <w:sz w:val="18"/>
          <w:szCs w:val="18"/>
          <w:rtl/>
        </w:rPr>
        <w:t xml:space="preserve">} </w:t>
      </w:r>
      <w:r w:rsidRPr="00C7624B">
        <w:rPr>
          <w:rFonts w:cs="Times New Roman" w:hint="cs"/>
          <w:spacing w:val="-4"/>
          <w:sz w:val="18"/>
          <w:szCs w:val="18"/>
          <w:rtl/>
        </w:rPr>
        <w:t>[إبراهيم: 4].</w:t>
      </w:r>
    </w:p>
    <w:p w:rsidR="004008AE" w:rsidRPr="00C7624B" w:rsidRDefault="004008AE" w:rsidP="004008AE">
      <w:pPr>
        <w:pStyle w:val="NormalWeb"/>
        <w:bidi/>
        <w:ind w:left="0" w:right="0"/>
        <w:jc w:val="lowKashida"/>
        <w:rPr>
          <w:rFonts w:cs="Times New Roman"/>
          <w:sz w:val="18"/>
          <w:szCs w:val="18"/>
        </w:rPr>
      </w:pPr>
      <w:r w:rsidRPr="00C7624B">
        <w:rPr>
          <w:rFonts w:cs="Times New Roman" w:hint="cs"/>
          <w:sz w:val="18"/>
          <w:szCs w:val="18"/>
          <w:rtl/>
        </w:rPr>
        <w:t>وأما الأدلة العقلية: فلا نكاد نجد لهم دليلًا يستحق الذكر، وأشهر دليل لديهم، هو قولهم: إن فعل العبد، إما أن يكون مقدورًا لله وحده، أو للعبد وحده، أو لله وللعبد، أو لا لله ولا للعبد؛ والرابع باطل؛ لاستحالة وجود فعل بلا فاعل؛ والثالث باطل؛ لما يلزم عليه من اجتماع قدرتين على مقدور واحد، أو فاعلين على فعل واحد، وهو محال؛ والثاني باطل؛ لتضافر النقل والعقل، على أن المؤثر في جميع الأشياء هو الله سبحانه، وهو باطل أيضًا؛ لما يترتب عليه من إخراج بعض الأشياء عن قدرة الله تعالى، مع أن الله تعالى على كل شيء قدير، وإذا بطل الرابع، والثالث، والثاني؛ لم يبقَ إلا الأول؛ فيثبت أن الفاعل لأفعال العباد هو الله سبحانه، وليس للعباد فيها قليل ولا كثير، وبهذا يثبت أنه ليس للعبد تأثير في فعلٍ ما؛ فيكون مضطرًّا في جميع أفعاله... هذه أدلتهم.</w:t>
      </w:r>
    </w:p>
    <w:p w:rsidR="004008AE" w:rsidRPr="00C7624B" w:rsidRDefault="004008AE" w:rsidP="004008AE">
      <w:pPr>
        <w:pStyle w:val="NormalWeb"/>
        <w:bidi/>
        <w:ind w:left="0" w:right="0"/>
        <w:jc w:val="lowKashida"/>
        <w:rPr>
          <w:rFonts w:cs="Times New Roman"/>
          <w:sz w:val="18"/>
          <w:szCs w:val="18"/>
        </w:rPr>
      </w:pPr>
      <w:r w:rsidRPr="00C7624B">
        <w:rPr>
          <w:rFonts w:cs="Times New Roman" w:hint="cs"/>
          <w:sz w:val="18"/>
          <w:szCs w:val="18"/>
          <w:rtl/>
        </w:rPr>
        <w:t xml:space="preserve">تقويم المذهب: </w:t>
      </w:r>
    </w:p>
    <w:p w:rsidR="004008AE" w:rsidRPr="00C7624B" w:rsidRDefault="004008AE" w:rsidP="004008AE">
      <w:pPr>
        <w:pStyle w:val="NormalWeb"/>
        <w:bidi/>
        <w:ind w:left="0" w:right="0"/>
        <w:jc w:val="lowKashida"/>
        <w:rPr>
          <w:rFonts w:cs="Times New Roman"/>
          <w:sz w:val="18"/>
          <w:szCs w:val="18"/>
        </w:rPr>
      </w:pPr>
      <w:r w:rsidRPr="00C7624B">
        <w:rPr>
          <w:rFonts w:cs="Times New Roman" w:hint="cs"/>
          <w:sz w:val="18"/>
          <w:szCs w:val="18"/>
          <w:rtl/>
        </w:rPr>
        <w:t>ما من شك في أن هذا المذهب فاسد، وأن فساده ظاهر، لا يحتاج إلى بيان؛ لأنه ينقض الدين من قواعده، ويقوِّض الأخلاق، ويزري بالسلوك والآداب، ونحن نشير إلى جملة من ضلالاته:</w:t>
      </w:r>
    </w:p>
    <w:p w:rsidR="004008AE" w:rsidRPr="00C7624B" w:rsidRDefault="004008AE" w:rsidP="004008AE">
      <w:pPr>
        <w:pStyle w:val="NormalWeb"/>
        <w:bidi/>
        <w:ind w:left="0" w:right="0"/>
        <w:jc w:val="lowKashida"/>
        <w:rPr>
          <w:rFonts w:cs="Times New Roman"/>
          <w:sz w:val="18"/>
          <w:szCs w:val="18"/>
        </w:rPr>
      </w:pPr>
      <w:r w:rsidRPr="00C7624B">
        <w:rPr>
          <w:rFonts w:cs="Times New Roman" w:hint="cs"/>
          <w:sz w:val="18"/>
          <w:szCs w:val="18"/>
          <w:rtl/>
        </w:rPr>
        <w:t>الأول: فالمذهب، يؤدي إلى أنه لا معنى للتكليف، وإرسال الرسل، والجزاء ثوابًا وعقابًا؛ فكل ذلك لا فائدة منه، ولا حكمة وراءه؛ وبناء على المذهب، يكون التكليف عبثًا؛ كذلك إرسال الرسل، وإنزال الكتب والتشريعات، ثم البعث والحساب، كل هذه الأمور الجوهرية في الدين، أو هي الدين في جملته وتفصيله، يقرر المذهب أنها عبث؛ لا حكمة وراءها، ولا فائدة فيها، ولا معنى لها، والمذهب بهذا مكذِّب بالقرآن والسنة، ومعارض لإجماع الأمة؛ فالقرآن والسنة وإجماع الأمة، كلها تقرر أن الدين حق، وأن الله تعالى حكيم في كل أفعاله، لا يفعل شيئًا عبثًا، ولا لهوًا، ولا يظلم الناس شيئًا؛ ولكن الناس أنفسهم يظلمون.</w:t>
      </w:r>
    </w:p>
    <w:p w:rsidR="004008AE" w:rsidRPr="00C7624B" w:rsidRDefault="004008AE" w:rsidP="004008AE">
      <w:pPr>
        <w:pStyle w:val="NormalWeb"/>
        <w:bidi/>
        <w:ind w:left="0" w:right="0"/>
        <w:jc w:val="lowKashida"/>
        <w:rPr>
          <w:rFonts w:cs="Times New Roman"/>
          <w:sz w:val="18"/>
          <w:szCs w:val="18"/>
        </w:rPr>
      </w:pPr>
      <w:r w:rsidRPr="00C7624B">
        <w:rPr>
          <w:rFonts w:cs="Times New Roman" w:hint="cs"/>
          <w:sz w:val="18"/>
          <w:szCs w:val="18"/>
          <w:rtl/>
        </w:rPr>
        <w:t>الثاني: اتفاق العقلاء بداهة، على أن أفعال الإنسان تنقسم إلى: أفعال اضطرارية، وأخرى اختيارية، وهذا ما يحسه ويشعر به كل إنسان، من أنه في أفعاله الاختيارية، يستطيع أن يفعل الشيء أو يتركه؛ فالقدرة على الفعل والترك، دليل على الاختيار وحرية الإرادة.</w:t>
      </w:r>
    </w:p>
    <w:p w:rsidR="004008AE" w:rsidRPr="00C7624B" w:rsidRDefault="004008AE" w:rsidP="004008AE">
      <w:pPr>
        <w:pStyle w:val="NormalWeb"/>
        <w:bidi/>
        <w:ind w:left="0" w:right="0"/>
        <w:jc w:val="lowKashida"/>
        <w:rPr>
          <w:rFonts w:cs="Times New Roman"/>
          <w:sz w:val="18"/>
          <w:szCs w:val="18"/>
        </w:rPr>
      </w:pPr>
      <w:r w:rsidRPr="00C7624B">
        <w:rPr>
          <w:rFonts w:cs="Times New Roman" w:hint="cs"/>
          <w:sz w:val="18"/>
          <w:szCs w:val="18"/>
          <w:rtl/>
        </w:rPr>
        <w:t>الثالث: ما هو مقرر لدى جميع العقلاء، من أن هناك فرقًا بين أفعال الإنسان الاختيارية، وأفعال البهائم والنباتات، وكذا الجمادات.</w:t>
      </w:r>
    </w:p>
    <w:p w:rsidR="004008AE" w:rsidRPr="00C7624B" w:rsidRDefault="004008AE" w:rsidP="004008AE">
      <w:pPr>
        <w:pStyle w:val="NormalWeb"/>
        <w:bidi/>
        <w:ind w:left="0" w:right="0"/>
        <w:rPr>
          <w:rFonts w:cs="Times New Roman"/>
          <w:sz w:val="18"/>
          <w:szCs w:val="18"/>
        </w:rPr>
      </w:pPr>
      <w:r w:rsidRPr="00C7624B">
        <w:rPr>
          <w:rFonts w:cs="Times New Roman" w:hint="cs"/>
          <w:sz w:val="18"/>
          <w:szCs w:val="18"/>
          <w:rtl/>
        </w:rPr>
        <w:t xml:space="preserve">الرابع: القرآن الكريم، والسنة النبوية، يقرران حرية الإنسان في كل أفعاله الاختيارية، وبالذات في قضايا الأفعال التي تمس الدين، ويكون عليها الجزاء مثوبة أو عقوبة؛ يقول الله </w:t>
      </w:r>
      <w:r w:rsidRPr="00C7624B">
        <w:rPr>
          <w:rFonts w:cs="Times New Roman"/>
          <w:position w:val="-2"/>
          <w:sz w:val="18"/>
          <w:szCs w:val="18"/>
          <w:rtl/>
        </w:rPr>
        <w:sym w:font="AGA Arabesque" w:char="F049"/>
      </w:r>
      <w:r w:rsidRPr="00C7624B">
        <w:rPr>
          <w:rFonts w:cs="Times New Roman" w:hint="cs"/>
          <w:sz w:val="18"/>
          <w:szCs w:val="18"/>
          <w:rtl/>
        </w:rPr>
        <w:t>:</w:t>
      </w:r>
      <w:r w:rsidRPr="00C7624B">
        <w:rPr>
          <w:rFonts w:cs="DecoType Thuluth" w:hint="cs"/>
          <w:sz w:val="18"/>
          <w:szCs w:val="18"/>
          <w:rtl/>
        </w:rPr>
        <w:t>{</w:t>
      </w:r>
      <w:r w:rsidRPr="00C7624B">
        <w:rPr>
          <w:rFonts w:ascii="QCF_P049" w:hAnsi="QCF_P049" w:cs="QCF_P049"/>
          <w:sz w:val="18"/>
          <w:szCs w:val="18"/>
          <w:rtl/>
        </w:rPr>
        <w:t xml:space="preserve">ﯗ ﯘ ﯙ ﯚ ﯛ ﯜ ﯝ ﯞ ﯟ ﯠ ﯡ ﯢ ﯣ ﯤ </w:t>
      </w:r>
      <w:r w:rsidRPr="00C7624B">
        <w:rPr>
          <w:rFonts w:cs="DecoType Thuluth" w:hint="cs"/>
          <w:sz w:val="18"/>
          <w:szCs w:val="18"/>
          <w:rtl/>
        </w:rPr>
        <w:t xml:space="preserve">} </w:t>
      </w:r>
      <w:r w:rsidRPr="00C7624B">
        <w:rPr>
          <w:rFonts w:cs="Times New Roman" w:hint="cs"/>
          <w:sz w:val="18"/>
          <w:szCs w:val="18"/>
          <w:rtl/>
        </w:rPr>
        <w:t xml:space="preserve">[البقرة: 286]، ويقول </w:t>
      </w:r>
      <w:r w:rsidRPr="00C7624B">
        <w:rPr>
          <w:rFonts w:cs="Times New Roman"/>
          <w:position w:val="-2"/>
          <w:sz w:val="18"/>
          <w:szCs w:val="18"/>
          <w:rtl/>
        </w:rPr>
        <w:sym w:font="AGA Arabesque" w:char="F049"/>
      </w:r>
      <w:r w:rsidRPr="00C7624B">
        <w:rPr>
          <w:rFonts w:cs="Times New Roman" w:hint="cs"/>
          <w:sz w:val="18"/>
          <w:szCs w:val="18"/>
          <w:rtl/>
        </w:rPr>
        <w:t>:</w:t>
      </w:r>
      <w:r w:rsidRPr="00C7624B">
        <w:rPr>
          <w:rFonts w:cs="DecoType Thuluth" w:hint="cs"/>
          <w:sz w:val="18"/>
          <w:szCs w:val="18"/>
          <w:rtl/>
        </w:rPr>
        <w:t>{</w:t>
      </w:r>
      <w:r w:rsidRPr="00C7624B">
        <w:rPr>
          <w:rFonts w:ascii="QCF_P297" w:hAnsi="QCF_P297" w:cs="QCF_P297"/>
          <w:sz w:val="18"/>
          <w:szCs w:val="18"/>
          <w:rtl/>
        </w:rPr>
        <w:t>ﭲ ﭳ ﭴ ﭵ ﭶ ﭷ ﭸ ﭹ ﭺ ﭻ ﭼ ﭽ</w:t>
      </w:r>
      <w:r w:rsidRPr="00C7624B">
        <w:rPr>
          <w:rFonts w:cs="DecoType Thuluth" w:hint="cs"/>
          <w:sz w:val="18"/>
          <w:szCs w:val="18"/>
          <w:rtl/>
        </w:rPr>
        <w:t>}</w:t>
      </w:r>
      <w:r w:rsidRPr="00C7624B">
        <w:rPr>
          <w:rFonts w:cs="Times New Roman" w:hint="cs"/>
          <w:sz w:val="18"/>
          <w:szCs w:val="18"/>
          <w:rtl/>
        </w:rPr>
        <w:t xml:space="preserve"> [الكهف: 29]، ويقول </w:t>
      </w:r>
      <w:r w:rsidRPr="00C7624B">
        <w:rPr>
          <w:rFonts w:cs="Times New Roman"/>
          <w:position w:val="-2"/>
          <w:sz w:val="18"/>
          <w:szCs w:val="18"/>
          <w:rtl/>
        </w:rPr>
        <w:sym w:font="AGA Arabesque" w:char="F055"/>
      </w:r>
      <w:r w:rsidRPr="00C7624B">
        <w:rPr>
          <w:rFonts w:cs="Times New Roman" w:hint="cs"/>
          <w:sz w:val="18"/>
          <w:szCs w:val="18"/>
          <w:rtl/>
        </w:rPr>
        <w:t>:</w:t>
      </w:r>
      <w:r w:rsidRPr="00C7624B">
        <w:rPr>
          <w:rFonts w:cs="DecoType Thuluth" w:hint="cs"/>
          <w:sz w:val="18"/>
          <w:szCs w:val="18"/>
          <w:rtl/>
        </w:rPr>
        <w:t>{</w:t>
      </w:r>
      <w:r w:rsidRPr="00C7624B">
        <w:rPr>
          <w:rFonts w:ascii="QCF_P527" w:hAnsi="QCF_P527" w:cs="QCF_P527"/>
          <w:sz w:val="18"/>
          <w:szCs w:val="18"/>
          <w:rtl/>
        </w:rPr>
        <w:t>ﰂ ﰃ ﰄ ﰅ ﰆ ﰇ ﰈ ﰉ ﰊ ﰋ ﰌ ﰍ ﰎ ﰏ ﰐ ﰑﰒ</w:t>
      </w:r>
      <w:r w:rsidRPr="00C7624B">
        <w:rPr>
          <w:rFonts w:cs="DecoType Thuluth" w:hint="cs"/>
          <w:sz w:val="18"/>
          <w:szCs w:val="18"/>
          <w:rtl/>
        </w:rPr>
        <w:t>}</w:t>
      </w:r>
      <w:r w:rsidRPr="00C7624B">
        <w:rPr>
          <w:rFonts w:cs="Times New Roman" w:hint="cs"/>
          <w:sz w:val="18"/>
          <w:szCs w:val="18"/>
          <w:rtl/>
        </w:rPr>
        <w:t xml:space="preserve">[النجم: 39 - 41]، ويقول </w:t>
      </w:r>
      <w:r w:rsidRPr="00C7624B">
        <w:rPr>
          <w:rFonts w:cs="Times New Roman" w:hint="cs"/>
          <w:spacing w:val="20"/>
          <w:position w:val="-4"/>
          <w:sz w:val="18"/>
          <w:szCs w:val="18"/>
          <w:rtl/>
        </w:rPr>
        <w:sym w:font="AGA Arabesque" w:char="F065"/>
      </w:r>
      <w:r w:rsidRPr="00C7624B">
        <w:rPr>
          <w:rFonts w:cs="Times New Roman" w:hint="cs"/>
          <w:spacing w:val="20"/>
          <w:sz w:val="18"/>
          <w:szCs w:val="18"/>
          <w:rtl/>
        </w:rPr>
        <w:t xml:space="preserve"> </w:t>
      </w:r>
      <w:r w:rsidRPr="00C7624B">
        <w:rPr>
          <w:rFonts w:cs="Times New Roman" w:hint="cs"/>
          <w:sz w:val="18"/>
          <w:szCs w:val="18"/>
          <w:rtl/>
        </w:rPr>
        <w:t>: ((إنما الأعمال بالنيات، وإنما لكل امرئ ما نوى)).</w:t>
      </w:r>
    </w:p>
    <w:p w:rsidR="004008AE" w:rsidRPr="00C7624B" w:rsidRDefault="004008AE" w:rsidP="004008AE">
      <w:pPr>
        <w:pStyle w:val="NormalWeb"/>
        <w:bidi/>
        <w:ind w:left="0" w:right="0"/>
        <w:jc w:val="lowKashida"/>
        <w:rPr>
          <w:rFonts w:cs="Times New Roman"/>
          <w:sz w:val="18"/>
          <w:szCs w:val="18"/>
        </w:rPr>
      </w:pPr>
      <w:r w:rsidRPr="00C7624B">
        <w:rPr>
          <w:rFonts w:cs="Times New Roman" w:hint="cs"/>
          <w:sz w:val="18"/>
          <w:szCs w:val="18"/>
          <w:rtl/>
        </w:rPr>
        <w:t xml:space="preserve">هذا؛ وأما نفيهم الصفات الأزلية عن الله تعالى، أو كل صفة يوصف بها الخلق، أو قولهم بخلق القرآن، أو نفي رؤية المؤمنين لله </w:t>
      </w:r>
      <w:r w:rsidRPr="00C7624B">
        <w:rPr>
          <w:rFonts w:cs="Times New Roman"/>
          <w:position w:val="-2"/>
          <w:sz w:val="18"/>
          <w:szCs w:val="18"/>
          <w:rtl/>
        </w:rPr>
        <w:sym w:font="AGA Arabesque" w:char="F055"/>
      </w:r>
      <w:r w:rsidRPr="00C7624B">
        <w:rPr>
          <w:rFonts w:cs="Times New Roman" w:hint="cs"/>
          <w:sz w:val="18"/>
          <w:szCs w:val="18"/>
          <w:rtl/>
        </w:rPr>
        <w:t xml:space="preserve">  في الآخرة؛ فسنذكر الرد على ذلك -إن شاء الله- بالتفصيل، مع الرد عند الكلام عن المعتزلة، وكذلك قولهم: بأن المعرفة تجب بالعقل قبل ورود السمع.</w:t>
      </w:r>
    </w:p>
    <w:p w:rsidR="004008AE" w:rsidRPr="00C7624B" w:rsidRDefault="004008AE" w:rsidP="004008AE">
      <w:pPr>
        <w:pStyle w:val="NormalWeb"/>
        <w:bidi/>
        <w:ind w:left="0" w:right="0"/>
        <w:jc w:val="lowKashida"/>
        <w:rPr>
          <w:rFonts w:cs="Times New Roman"/>
          <w:sz w:val="18"/>
          <w:szCs w:val="18"/>
          <w:rtl/>
        </w:rPr>
      </w:pPr>
      <w:r w:rsidRPr="00C7624B">
        <w:rPr>
          <w:rFonts w:cs="Times New Roman" w:hint="cs"/>
          <w:sz w:val="18"/>
          <w:szCs w:val="18"/>
          <w:rtl/>
        </w:rPr>
        <w:t xml:space="preserve">وأما الزعم بأن حركات أهل الخلدين تنقطع، وأن الجنة والنار تفنيان؛ فهذا أمر مردود ومرفوض؛ لأن الجنة والنار، خالدتان وباقيتان بإبقاء الله تعالى لهما، وكل ما </w:t>
      </w:r>
      <w:r w:rsidRPr="00C7624B">
        <w:rPr>
          <w:rFonts w:cs="Times New Roman" w:hint="cs"/>
          <w:sz w:val="18"/>
          <w:szCs w:val="18"/>
          <w:rtl/>
        </w:rPr>
        <w:lastRenderedPageBreak/>
        <w:t xml:space="preserve">ورد في القرآن والسنة يدل على ذلك، كما يدل على خلود أهلهما فيهما أبدًا؛ فأهل الجنة خالدون فيها أبدًا؛ كما دل على ذلك القرآن، وأهل النار، باستثناء عصاة المؤمنين الذين يخرجون من النار بما بقي معهم من إيمان -كما دلت على ذلك السنة الصحيحة- هم كذلك خالدون فيها أبدًا. </w:t>
      </w:r>
    </w:p>
    <w:p w:rsidR="004008AE" w:rsidRPr="00C7624B" w:rsidRDefault="004008AE" w:rsidP="004008AE">
      <w:pPr>
        <w:pStyle w:val="NormalWeb"/>
        <w:bidi/>
        <w:ind w:left="0" w:right="0"/>
        <w:jc w:val="lowKashida"/>
        <w:rPr>
          <w:rFonts w:cs="Times New Roman"/>
          <w:sz w:val="18"/>
          <w:szCs w:val="18"/>
        </w:rPr>
      </w:pPr>
      <w:r w:rsidRPr="00C7624B">
        <w:rPr>
          <w:rFonts w:cs="Times New Roman" w:hint="cs"/>
          <w:sz w:val="18"/>
          <w:szCs w:val="18"/>
          <w:rtl/>
        </w:rPr>
        <w:t xml:space="preserve">الرد على القول بفناء الجنة والنار: </w:t>
      </w:r>
    </w:p>
    <w:p w:rsidR="004008AE" w:rsidRPr="00C7624B" w:rsidRDefault="004008AE" w:rsidP="004008AE">
      <w:pPr>
        <w:pStyle w:val="NormalWeb"/>
        <w:bidi/>
        <w:ind w:left="0" w:right="0"/>
        <w:jc w:val="lowKashida"/>
        <w:rPr>
          <w:rFonts w:cs="Times New Roman"/>
          <w:sz w:val="18"/>
          <w:szCs w:val="18"/>
        </w:rPr>
      </w:pPr>
      <w:r w:rsidRPr="00C7624B">
        <w:rPr>
          <w:rFonts w:cs="Times New Roman" w:hint="cs"/>
          <w:sz w:val="18"/>
          <w:szCs w:val="18"/>
          <w:rtl/>
        </w:rPr>
        <w:t>أما ما أوردوه من دليل يفهم منه فناء الجنة أو النار، بأن دوامهما مرتبط بدوام السموات والأرض، وهما لا يدومان، وسيفنيان كما تفنى الأشياء، وكما دلت على ذلك الأدلة، أو هذا الاستثناء: "إلا ما شاء الله"، وقد زعموا أنه بذكر الاستثناء، وذكر دوام السموات والأرض، وهو أمر غير دائم، دل هذا على فناء الجنة والنار.</w:t>
      </w:r>
    </w:p>
    <w:p w:rsidR="004008AE" w:rsidRPr="00C7624B" w:rsidRDefault="004008AE" w:rsidP="004008AE">
      <w:pPr>
        <w:pStyle w:val="NormalWeb"/>
        <w:bidi/>
        <w:ind w:left="0" w:right="0"/>
        <w:rPr>
          <w:rFonts w:cs="Times New Roman"/>
          <w:sz w:val="18"/>
          <w:szCs w:val="18"/>
        </w:rPr>
      </w:pPr>
      <w:r w:rsidRPr="00C7624B">
        <w:rPr>
          <w:rFonts w:cs="Times New Roman" w:hint="cs"/>
          <w:sz w:val="18"/>
          <w:szCs w:val="18"/>
          <w:rtl/>
        </w:rPr>
        <w:t xml:space="preserve">فنقول -وبالله التوفيق- إن قول الله تعالى: </w:t>
      </w:r>
      <w:r w:rsidRPr="00C7624B">
        <w:rPr>
          <w:rFonts w:ascii="QCF_BSML" w:hAnsi="QCF_BSML" w:cs="DecoType Thuluth"/>
          <w:sz w:val="18"/>
          <w:szCs w:val="18"/>
          <w:rtl/>
        </w:rPr>
        <w:t>{</w:t>
      </w:r>
      <w:r w:rsidRPr="00C7624B">
        <w:rPr>
          <w:rFonts w:ascii="QCF_P233" w:hAnsi="QCF_P233" w:cs="QCF_P233"/>
          <w:sz w:val="18"/>
          <w:szCs w:val="18"/>
          <w:rtl/>
        </w:rPr>
        <w:t>ﯠ ﯡ ﯢ ﯣ ﯤ ﯥ ﯦ ﯧ ﯨ ﯩ ﯪ ﯫ ﯬ ﯭ ﯮ ﯯ ﯰ ﯱ ﯲ ﯳ ﯴ ﯵ ﯶ ﯷ ﯸ ﯹ ﯻ ﯼ ﯽ ﯾ ﯿ ﰀ ﰁ ﰂ ﰃ ﰄ ﰅ ﰆ ﰇ ﰈ ﰉ ﰊ ﰋ ﰌ ﰍ ﰎ ﰏ</w:t>
      </w:r>
      <w:r w:rsidRPr="00C7624B">
        <w:rPr>
          <w:rFonts w:ascii="QCF_BSML" w:hAnsi="QCF_BSML" w:cs="DecoType Thuluth"/>
          <w:sz w:val="18"/>
          <w:szCs w:val="18"/>
          <w:rtl/>
        </w:rPr>
        <w:t>}</w:t>
      </w:r>
      <w:r w:rsidRPr="00C7624B">
        <w:rPr>
          <w:rFonts w:cs="Times New Roman" w:hint="cs"/>
          <w:sz w:val="18"/>
          <w:szCs w:val="18"/>
          <w:rtl/>
        </w:rPr>
        <w:t xml:space="preserve"> [هود 106: 108].</w:t>
      </w:r>
    </w:p>
    <w:p w:rsidR="004008AE" w:rsidRPr="00C7624B" w:rsidRDefault="004008AE" w:rsidP="004008AE">
      <w:pPr>
        <w:pStyle w:val="NormalWeb"/>
        <w:bidi/>
        <w:ind w:left="0" w:right="0"/>
        <w:jc w:val="lowKashida"/>
        <w:rPr>
          <w:rFonts w:cs="Times New Roman"/>
          <w:sz w:val="18"/>
          <w:szCs w:val="18"/>
        </w:rPr>
      </w:pPr>
      <w:r w:rsidRPr="00C7624B">
        <w:rPr>
          <w:rFonts w:cs="Times New Roman" w:hint="cs"/>
          <w:sz w:val="18"/>
          <w:szCs w:val="18"/>
          <w:rtl/>
        </w:rPr>
        <w:t xml:space="preserve">قد فُهمت الآيتان فهمًا غير صحيح، فإن قوله تعالى: </w:t>
      </w:r>
      <w:r w:rsidRPr="00C7624B">
        <w:rPr>
          <w:rFonts w:cs="DecoType Thuluth" w:hint="cs"/>
          <w:sz w:val="18"/>
          <w:szCs w:val="18"/>
          <w:rtl/>
        </w:rPr>
        <w:t>{</w:t>
      </w:r>
      <w:r w:rsidRPr="00C7624B">
        <w:rPr>
          <w:rFonts w:ascii="QCF_P233" w:hAnsi="QCF_P233" w:cs="QCF_P233"/>
          <w:sz w:val="18"/>
          <w:szCs w:val="18"/>
          <w:rtl/>
        </w:rPr>
        <w:t xml:space="preserve"> ﰃ ﰄ ﰅ ﰆ</w:t>
      </w:r>
      <w:r w:rsidRPr="00C7624B">
        <w:rPr>
          <w:rFonts w:cs="DecoType Thuluth" w:hint="cs"/>
          <w:sz w:val="18"/>
          <w:szCs w:val="18"/>
          <w:rtl/>
        </w:rPr>
        <w:t>}</w:t>
      </w:r>
      <w:r w:rsidRPr="00C7624B">
        <w:rPr>
          <w:rFonts w:cs="Times New Roman" w:hint="cs"/>
          <w:sz w:val="18"/>
          <w:szCs w:val="18"/>
          <w:rtl/>
        </w:rPr>
        <w:t xml:space="preserve"> معناه: ليست هذه السموات، ولا تلك الأرض؛ وإلا فهما سيفنيان قبل يوم القيامة، يوم تنفطر السموات، ويوم تزلزل الأرض، هو قوله تعالى: </w:t>
      </w:r>
      <w:r w:rsidRPr="00C7624B">
        <w:rPr>
          <w:rFonts w:ascii="QCF_BSML" w:hAnsi="QCF_BSML" w:cs="DecoType Thuluth"/>
          <w:sz w:val="18"/>
          <w:szCs w:val="18"/>
          <w:rtl/>
        </w:rPr>
        <w:t>{</w:t>
      </w:r>
      <w:r w:rsidRPr="00C7624B">
        <w:rPr>
          <w:rFonts w:ascii="QCF_P331" w:hAnsi="QCF_P331" w:cs="QCF_P331"/>
          <w:sz w:val="18"/>
          <w:szCs w:val="18"/>
          <w:rtl/>
        </w:rPr>
        <w:t>ﭨ ﭩ ﭪ ﭫ ﭬ ﭭ ﭮ ﭯ ﭰ ﭱ ﭲ ﭳ ﭴ ﭵ ﭶ ﭷ ﭸ ﭹ ﭺ ﭻ</w:t>
      </w:r>
      <w:r w:rsidRPr="00C7624B">
        <w:rPr>
          <w:rFonts w:ascii="QCF_BSML" w:hAnsi="QCF_BSML" w:cs="DecoType Thuluth"/>
          <w:sz w:val="18"/>
          <w:szCs w:val="18"/>
          <w:rtl/>
        </w:rPr>
        <w:t>}</w:t>
      </w:r>
      <w:r w:rsidRPr="00C7624B">
        <w:rPr>
          <w:rFonts w:cs="Times New Roman" w:hint="cs"/>
          <w:sz w:val="18"/>
          <w:szCs w:val="18"/>
          <w:rtl/>
        </w:rPr>
        <w:t xml:space="preserve"> [الأنبياء: 104]. </w:t>
      </w:r>
    </w:p>
    <w:p w:rsidR="004008AE" w:rsidRPr="00C7624B" w:rsidRDefault="004008AE" w:rsidP="004008AE">
      <w:pPr>
        <w:pStyle w:val="NormalWeb"/>
        <w:bidi/>
        <w:ind w:left="0" w:right="0"/>
        <w:jc w:val="lowKashida"/>
        <w:rPr>
          <w:rFonts w:cs="Times New Roman"/>
          <w:spacing w:val="-6"/>
          <w:sz w:val="18"/>
          <w:szCs w:val="18"/>
        </w:rPr>
      </w:pPr>
      <w:r w:rsidRPr="00C7624B">
        <w:rPr>
          <w:rFonts w:cs="Times New Roman" w:hint="cs"/>
          <w:spacing w:val="-6"/>
          <w:sz w:val="18"/>
          <w:szCs w:val="18"/>
          <w:rtl/>
        </w:rPr>
        <w:t xml:space="preserve">وقوله تعالى: </w:t>
      </w:r>
      <w:r w:rsidRPr="00C7624B">
        <w:rPr>
          <w:rFonts w:ascii="QCF_BSML" w:hAnsi="QCF_BSML" w:cs="DecoType Thuluth"/>
          <w:spacing w:val="-6"/>
          <w:sz w:val="18"/>
          <w:szCs w:val="18"/>
          <w:rtl/>
        </w:rPr>
        <w:t>{</w:t>
      </w:r>
      <w:r w:rsidRPr="00C7624B">
        <w:rPr>
          <w:rFonts w:ascii="QCF_P465" w:hAnsi="QCF_P465" w:cs="QCF_P465"/>
          <w:spacing w:val="-6"/>
          <w:sz w:val="18"/>
          <w:szCs w:val="18"/>
          <w:rtl/>
        </w:rPr>
        <w:t>ﯦ ﯧ ﯨ ﯩ ﯪ ﯫ ﯬ ﯭ ﯮ ﯯ ﯰ ﯱ ﯲ ﯳ ﯴ ﯵ ﯶ ﯷ ﯸ</w:t>
      </w:r>
      <w:r w:rsidRPr="00C7624B">
        <w:rPr>
          <w:rFonts w:ascii="QCF_BSML" w:hAnsi="QCF_BSML" w:cs="DecoType Thuluth"/>
          <w:spacing w:val="-6"/>
          <w:sz w:val="18"/>
          <w:szCs w:val="18"/>
          <w:rtl/>
        </w:rPr>
        <w:t>}</w:t>
      </w:r>
      <w:r w:rsidRPr="00C7624B">
        <w:rPr>
          <w:rFonts w:ascii="QCF_BSML" w:hAnsi="QCF_BSML" w:cs="QCF_BSML"/>
          <w:spacing w:val="-6"/>
          <w:sz w:val="18"/>
          <w:szCs w:val="18"/>
          <w:rtl/>
        </w:rPr>
        <w:t xml:space="preserve">   </w:t>
      </w:r>
      <w:r w:rsidRPr="00C7624B">
        <w:rPr>
          <w:rFonts w:cs="Times New Roman" w:hint="cs"/>
          <w:spacing w:val="-6"/>
          <w:sz w:val="18"/>
          <w:szCs w:val="18"/>
          <w:rtl/>
        </w:rPr>
        <w:t xml:space="preserve"> [الزمر: 67]؛ فليس المعنى إذًا هو هذه السموات والأرض التي نعهدها في الدنيا، بل هناك سموات غير السماوات، وأرض غير الأرض، كما قال تعالى: </w:t>
      </w:r>
      <w:r w:rsidRPr="00C7624B">
        <w:rPr>
          <w:rFonts w:ascii="QCF_BSML" w:hAnsi="QCF_BSML" w:cs="DecoType Thuluth"/>
          <w:spacing w:val="-6"/>
          <w:sz w:val="18"/>
          <w:szCs w:val="18"/>
          <w:rtl/>
        </w:rPr>
        <w:t>{</w:t>
      </w:r>
      <w:r w:rsidRPr="00C7624B">
        <w:rPr>
          <w:rFonts w:ascii="QCF_P261" w:hAnsi="QCF_P261" w:cs="QCF_P261"/>
          <w:spacing w:val="-6"/>
          <w:sz w:val="18"/>
          <w:szCs w:val="18"/>
          <w:rtl/>
        </w:rPr>
        <w:t>ﮡ ﮢ ﮣ ﮤ ﮥ ﮦ ﮧ ﮨ ﮩ ﮪ ﮫ ﮬ</w:t>
      </w:r>
      <w:r w:rsidRPr="00C7624B">
        <w:rPr>
          <w:rFonts w:ascii="QCF_BSML" w:hAnsi="QCF_BSML" w:cs="DecoType Thuluth"/>
          <w:spacing w:val="-6"/>
          <w:sz w:val="18"/>
          <w:szCs w:val="18"/>
          <w:rtl/>
        </w:rPr>
        <w:t>}</w:t>
      </w:r>
      <w:r w:rsidRPr="00C7624B">
        <w:rPr>
          <w:rFonts w:cs="Times New Roman" w:hint="cs"/>
          <w:spacing w:val="-6"/>
          <w:sz w:val="18"/>
          <w:szCs w:val="18"/>
          <w:rtl/>
        </w:rPr>
        <w:t xml:space="preserve"> [إبراهيم: 48]. </w:t>
      </w:r>
    </w:p>
    <w:p w:rsidR="004008AE" w:rsidRPr="00C7624B" w:rsidRDefault="004008AE" w:rsidP="004008AE">
      <w:pPr>
        <w:pStyle w:val="NormalWeb"/>
        <w:bidi/>
        <w:ind w:left="0" w:right="0"/>
        <w:jc w:val="lowKashida"/>
        <w:rPr>
          <w:rFonts w:cs="Times New Roman"/>
          <w:sz w:val="18"/>
          <w:szCs w:val="18"/>
          <w:rtl/>
          <w:lang w:bidi="ar-EG"/>
        </w:rPr>
      </w:pPr>
      <w:r w:rsidRPr="00C7624B">
        <w:rPr>
          <w:rFonts w:cs="Times New Roman" w:hint="cs"/>
          <w:sz w:val="18"/>
          <w:szCs w:val="18"/>
          <w:rtl/>
        </w:rPr>
        <w:t xml:space="preserve">وهذه السموات والأرض تبقى وتدوم، ثم قول ربنا </w:t>
      </w:r>
      <w:r w:rsidRPr="00C7624B">
        <w:rPr>
          <w:rFonts w:cs="Times New Roman"/>
          <w:position w:val="-2"/>
          <w:sz w:val="18"/>
          <w:szCs w:val="18"/>
          <w:rtl/>
        </w:rPr>
        <w:sym w:font="AGA Arabesque" w:char="F055"/>
      </w:r>
      <w:r w:rsidRPr="00C7624B">
        <w:rPr>
          <w:rFonts w:cs="Times New Roman" w:hint="cs"/>
          <w:sz w:val="18"/>
          <w:szCs w:val="18"/>
          <w:rtl/>
        </w:rPr>
        <w:t xml:space="preserve"> : </w:t>
      </w:r>
      <w:r w:rsidRPr="00C7624B">
        <w:rPr>
          <w:rFonts w:cs="DecoType Thuluth" w:hint="cs"/>
          <w:sz w:val="18"/>
          <w:szCs w:val="18"/>
          <w:rtl/>
        </w:rPr>
        <w:t>{</w:t>
      </w:r>
      <w:r w:rsidRPr="00C7624B">
        <w:rPr>
          <w:rFonts w:ascii="QCF_P233" w:hAnsi="QCF_P233" w:cs="QCF_P233"/>
          <w:sz w:val="18"/>
          <w:szCs w:val="18"/>
          <w:rtl/>
        </w:rPr>
        <w:t xml:space="preserve"> ﰃ ﰄ ﰅ ﰆ</w:t>
      </w:r>
      <w:r w:rsidRPr="00C7624B">
        <w:rPr>
          <w:rFonts w:cs="Times New Roman" w:hint="cs"/>
          <w:sz w:val="18"/>
          <w:szCs w:val="18"/>
          <w:rtl/>
        </w:rPr>
        <w:t xml:space="preserve"> </w:t>
      </w:r>
      <w:r w:rsidRPr="00C7624B">
        <w:rPr>
          <w:rFonts w:cs="DecoType Thuluth" w:hint="cs"/>
          <w:sz w:val="18"/>
          <w:szCs w:val="18"/>
          <w:rtl/>
        </w:rPr>
        <w:t>}</w:t>
      </w:r>
      <w:r w:rsidRPr="00C7624B">
        <w:rPr>
          <w:rFonts w:cs="Times New Roman" w:hint="cs"/>
          <w:sz w:val="18"/>
          <w:szCs w:val="18"/>
          <w:rtl/>
        </w:rPr>
        <w:t xml:space="preserve"> هو تعبير قرآني، يناسب لغة العرب الذين يعبرون عن ديمومة الشيء بدوام السموات والأرض؛ فخاطبهم القرآن بلغتهم، كما أن معناها أيضًا: ما دامت السموات سموات، والأرض أرضًا؛ كما قيل أيضًا: لكل جنة سماء وأرض؛ فهي دائمة بدوام سمائها وأرضها. </w:t>
      </w:r>
    </w:p>
    <w:p w:rsidR="004008AE" w:rsidRPr="00C7624B" w:rsidRDefault="004008AE" w:rsidP="004008AE">
      <w:pPr>
        <w:pStyle w:val="NormalWeb"/>
        <w:bidi/>
        <w:ind w:left="0" w:right="0"/>
        <w:jc w:val="lowKashida"/>
        <w:rPr>
          <w:rFonts w:cs="Times New Roman"/>
          <w:sz w:val="18"/>
          <w:szCs w:val="18"/>
        </w:rPr>
      </w:pPr>
      <w:r w:rsidRPr="00C7624B">
        <w:rPr>
          <w:rFonts w:cs="Times New Roman" w:hint="cs"/>
          <w:sz w:val="18"/>
          <w:szCs w:val="18"/>
          <w:rtl/>
        </w:rPr>
        <w:t>إذن، هو تعبير يدل على البقاء، ولا يدل على الفناء.</w:t>
      </w:r>
    </w:p>
    <w:p w:rsidR="004008AE" w:rsidRPr="00C7624B" w:rsidRDefault="004008AE" w:rsidP="004008AE">
      <w:pPr>
        <w:pStyle w:val="NormalWeb"/>
        <w:bidi/>
        <w:ind w:left="0" w:right="0"/>
        <w:jc w:val="lowKashida"/>
        <w:rPr>
          <w:rFonts w:cs="Times New Roman"/>
          <w:sz w:val="18"/>
          <w:szCs w:val="18"/>
        </w:rPr>
      </w:pPr>
      <w:r w:rsidRPr="00C7624B">
        <w:rPr>
          <w:rFonts w:cs="Times New Roman" w:hint="cs"/>
          <w:sz w:val="18"/>
          <w:szCs w:val="18"/>
          <w:rtl/>
        </w:rPr>
        <w:t xml:space="preserve">وأما الاستثناء، في قول رب الأرض والسماء: </w:t>
      </w:r>
      <w:r w:rsidRPr="00C7624B">
        <w:rPr>
          <w:rFonts w:cs="DecoType Thuluth" w:hint="cs"/>
          <w:sz w:val="18"/>
          <w:szCs w:val="18"/>
          <w:rtl/>
        </w:rPr>
        <w:t>{</w:t>
      </w:r>
      <w:r w:rsidRPr="00C7624B">
        <w:rPr>
          <w:rFonts w:cs="Times New Roman" w:hint="cs"/>
          <w:sz w:val="18"/>
          <w:szCs w:val="18"/>
          <w:rtl/>
        </w:rPr>
        <w:t>إ</w:t>
      </w:r>
      <w:r w:rsidRPr="00C7624B">
        <w:rPr>
          <w:rFonts w:ascii="QCF_P233" w:hAnsi="QCF_P233" w:cs="QCF_P233"/>
          <w:sz w:val="18"/>
          <w:szCs w:val="18"/>
          <w:rtl/>
        </w:rPr>
        <w:t xml:space="preserve"> ﯰ ﯱ ﯲ ﯳ</w:t>
      </w:r>
      <w:r w:rsidRPr="00C7624B">
        <w:rPr>
          <w:rFonts w:cs="Times New Roman" w:hint="cs"/>
          <w:sz w:val="18"/>
          <w:szCs w:val="18"/>
          <w:rtl/>
        </w:rPr>
        <w:t xml:space="preserve"> </w:t>
      </w:r>
      <w:r w:rsidRPr="00C7624B">
        <w:rPr>
          <w:rFonts w:cs="DecoType Thuluth" w:hint="cs"/>
          <w:sz w:val="18"/>
          <w:szCs w:val="18"/>
          <w:rtl/>
        </w:rPr>
        <w:t>}</w:t>
      </w:r>
      <w:r w:rsidRPr="00C7624B">
        <w:rPr>
          <w:rFonts w:cs="Times New Roman" w:hint="cs"/>
          <w:sz w:val="18"/>
          <w:szCs w:val="18"/>
          <w:rtl/>
        </w:rPr>
        <w:t xml:space="preserve"> فمعناه: أن كل شيء يقع في الكون، إنما هو بمحض مشيئته وإرادته؛ فلا خلود لأهل الجنة إلا بمشيئته، ولا خلود لأهل النار إلا بمشيئته؛ فسبحانه لا يُسأل عما يفعل وهم يسألون، ولا يُجبَر على شيء -جل شأنه- لذلك كل شيء يقع بمشيئته.</w:t>
      </w:r>
    </w:p>
    <w:p w:rsidR="004008AE" w:rsidRPr="00C7624B" w:rsidRDefault="004008AE" w:rsidP="004008AE">
      <w:pPr>
        <w:pStyle w:val="NormalWeb"/>
        <w:bidi/>
        <w:ind w:left="0" w:right="0"/>
        <w:jc w:val="lowKashida"/>
        <w:rPr>
          <w:rFonts w:cs="Times New Roman"/>
          <w:sz w:val="18"/>
          <w:szCs w:val="18"/>
        </w:rPr>
      </w:pPr>
      <w:r w:rsidRPr="00C7624B">
        <w:rPr>
          <w:rFonts w:cs="Times New Roman" w:hint="cs"/>
          <w:sz w:val="18"/>
          <w:szCs w:val="18"/>
          <w:rtl/>
        </w:rPr>
        <w:t xml:space="preserve">فقوله تعالى: </w:t>
      </w:r>
      <w:r w:rsidRPr="00C7624B">
        <w:rPr>
          <w:rFonts w:ascii="QCF_BSML" w:hAnsi="QCF_BSML" w:cs="DecoType Thuluth"/>
          <w:sz w:val="18"/>
          <w:szCs w:val="18"/>
          <w:rtl/>
        </w:rPr>
        <w:t>{</w:t>
      </w:r>
      <w:r w:rsidRPr="00C7624B">
        <w:rPr>
          <w:rFonts w:ascii="QCF_P233" w:hAnsi="QCF_P233" w:cs="QCF_P233"/>
          <w:sz w:val="18"/>
          <w:szCs w:val="18"/>
          <w:rtl/>
        </w:rPr>
        <w:t>ﯠ ﯡ ﯢ ﯣ ﯤ ﯥ ﯦ ﯧ ﯨ ﯩ ﯪ ﯫ ﯬ ﯭ ﯮ ﯯ ﯰ ﯱ ﯲ ﯳ ﯴ ﯵ ﯶ ﯷ ﯸ ﯹ</w:t>
      </w:r>
      <w:r w:rsidRPr="00C7624B">
        <w:rPr>
          <w:rFonts w:ascii="QCF_BSML" w:hAnsi="QCF_BSML" w:cs="DecoType Thuluth"/>
          <w:sz w:val="18"/>
          <w:szCs w:val="18"/>
          <w:rtl/>
        </w:rPr>
        <w:t>}</w:t>
      </w:r>
      <w:r w:rsidRPr="00C7624B">
        <w:rPr>
          <w:rFonts w:cs="Times New Roman" w:hint="cs"/>
          <w:sz w:val="18"/>
          <w:szCs w:val="18"/>
          <w:rtl/>
        </w:rPr>
        <w:t xml:space="preserve"> يفهم على وجهه أيضًا؛ لأن مشيئة الله تعالى، اقتضت ألا يخلد في النار من مات على التوحيد؛ فالاستثناء يكون هنا على وجهه وعلى حقيقته؛ فالذين دخلوا النار وهم عصاة، يخرجون منها؛ لما بقي معهم من التوحيد؛ فهم المستثنون من الخلود في النار. وهذا واضح.</w:t>
      </w:r>
    </w:p>
    <w:p w:rsidR="004008AE" w:rsidRPr="00C7624B" w:rsidRDefault="004008AE" w:rsidP="004008AE">
      <w:pPr>
        <w:pStyle w:val="NormalWeb"/>
        <w:bidi/>
        <w:ind w:left="0" w:right="0"/>
        <w:jc w:val="lowKashida"/>
        <w:rPr>
          <w:rFonts w:cs="Times New Roman"/>
          <w:sz w:val="18"/>
          <w:szCs w:val="18"/>
        </w:rPr>
      </w:pPr>
      <w:r w:rsidRPr="00C7624B">
        <w:rPr>
          <w:rFonts w:cs="Times New Roman" w:hint="cs"/>
          <w:sz w:val="18"/>
          <w:szCs w:val="18"/>
          <w:rtl/>
        </w:rPr>
        <w:t xml:space="preserve">وأما قوله سبحانه: </w:t>
      </w:r>
      <w:r w:rsidRPr="00C7624B">
        <w:rPr>
          <w:rFonts w:cs="DecoType Thuluth" w:hint="cs"/>
          <w:sz w:val="18"/>
          <w:szCs w:val="18"/>
          <w:rtl/>
        </w:rPr>
        <w:t>{</w:t>
      </w:r>
      <w:r w:rsidRPr="00C7624B">
        <w:rPr>
          <w:rFonts w:ascii="QCF_P233" w:hAnsi="QCF_P233" w:cs="QCF_P233"/>
          <w:sz w:val="18"/>
          <w:szCs w:val="18"/>
          <w:rtl/>
        </w:rPr>
        <w:t xml:space="preserve"> ﯻ ﯼ ﯽ ﯾ ﯿ ﰀ ﰁ ﰂ ﰃ ﰄ ﰅ ﰆ ﰇ ﰈ ﰉ ﰊ ﰋ ﰌ ﰍ ﰎ ﰏ</w:t>
      </w:r>
      <w:r w:rsidRPr="00C7624B">
        <w:rPr>
          <w:rFonts w:ascii="QCF_BSML" w:hAnsi="QCF_BSML" w:cs="DecoType Thuluth"/>
          <w:sz w:val="18"/>
          <w:szCs w:val="18"/>
          <w:rtl/>
        </w:rPr>
        <w:t>}</w:t>
      </w:r>
      <w:r w:rsidRPr="00C7624B">
        <w:rPr>
          <w:rFonts w:cs="Times New Roman" w:hint="cs"/>
          <w:sz w:val="18"/>
          <w:szCs w:val="18"/>
          <w:rtl/>
        </w:rPr>
        <w:t xml:space="preserve">  فنفهمه على أن خلود أهل الجنة في الجنة بمشيئة الله تعالى، لا بإجبار ولا إرغام، ولا بقهر أو إلزام؛ وإنما هي مشيئة الملك العلام؛ اقتضت خلودهم في الجنة بلا انقطاع أو انتهاء، والذي يؤكد هذا، ختم الآية بقوله -جل وعلا: </w:t>
      </w:r>
      <w:r w:rsidRPr="00C7624B">
        <w:rPr>
          <w:rFonts w:cs="DecoType Thuluth" w:hint="cs"/>
          <w:sz w:val="18"/>
          <w:szCs w:val="18"/>
          <w:rtl/>
        </w:rPr>
        <w:t>{</w:t>
      </w:r>
      <w:r w:rsidRPr="00C7624B">
        <w:rPr>
          <w:rFonts w:ascii="QCF_P233" w:hAnsi="QCF_P233" w:cs="QCF_P233"/>
          <w:sz w:val="18"/>
          <w:szCs w:val="18"/>
          <w:rtl/>
        </w:rPr>
        <w:t>ﰌ ﰍ ﰎ ﰏ</w:t>
      </w:r>
      <w:r w:rsidRPr="00C7624B">
        <w:rPr>
          <w:rFonts w:cs="Times New Roman" w:hint="cs"/>
          <w:sz w:val="18"/>
          <w:szCs w:val="18"/>
          <w:rtl/>
        </w:rPr>
        <w:t xml:space="preserve"> </w:t>
      </w:r>
      <w:r w:rsidRPr="00C7624B">
        <w:rPr>
          <w:rFonts w:cs="DecoType Thuluth" w:hint="cs"/>
          <w:sz w:val="18"/>
          <w:szCs w:val="18"/>
          <w:rtl/>
        </w:rPr>
        <w:t>}</w:t>
      </w:r>
      <w:r w:rsidRPr="00C7624B">
        <w:rPr>
          <w:rFonts w:cs="Times New Roman" w:hint="cs"/>
          <w:sz w:val="18"/>
          <w:szCs w:val="18"/>
          <w:rtl/>
        </w:rPr>
        <w:t xml:space="preserve"> أي: غير مقطوع ولا منتهٍ، فدلت تلك الجملة على تأكد الخلود في الجنة -بفضل الله تعالى- فالآية حجة عليهم وليست لهم.</w:t>
      </w:r>
    </w:p>
    <w:p w:rsidR="00C7624B" w:rsidRDefault="00C7624B" w:rsidP="00C7624B">
      <w:pPr>
        <w:jc w:val="lowKashida"/>
        <w:rPr>
          <w:rFonts w:asciiTheme="majorBidi" w:hAnsiTheme="majorBidi" w:cstheme="majorBidi"/>
          <w:b/>
          <w:bCs/>
          <w:sz w:val="18"/>
          <w:szCs w:val="18"/>
          <w:rtl/>
        </w:rPr>
      </w:pPr>
    </w:p>
    <w:p w:rsidR="00C7624B" w:rsidRDefault="00C7624B" w:rsidP="00C7624B">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C7624B" w:rsidRPr="00545C45" w:rsidRDefault="00C7624B" w:rsidP="00C7624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C7624B" w:rsidRPr="00545C45" w:rsidRDefault="00C7624B" w:rsidP="00C7624B">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C7624B" w:rsidRPr="00545C45" w:rsidRDefault="00C7624B" w:rsidP="00C7624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C7624B" w:rsidRPr="00545C45" w:rsidRDefault="00C7624B" w:rsidP="00C7624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C7624B" w:rsidRPr="00545C45" w:rsidRDefault="00C7624B" w:rsidP="00C7624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C7624B" w:rsidRPr="00545C45" w:rsidRDefault="00C7624B" w:rsidP="00C7624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C7624B" w:rsidRPr="00545C45" w:rsidRDefault="00C7624B" w:rsidP="00C7624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C7624B" w:rsidRPr="00545C45" w:rsidRDefault="00C7624B" w:rsidP="00C7624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C7624B" w:rsidRPr="00545C45" w:rsidRDefault="00C7624B" w:rsidP="00C7624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C7624B" w:rsidRPr="00545C45" w:rsidRDefault="00C7624B" w:rsidP="00C7624B">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C7624B" w:rsidRPr="00545C45" w:rsidRDefault="00C7624B" w:rsidP="00C7624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lastRenderedPageBreak/>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C7624B" w:rsidRPr="00545C45" w:rsidRDefault="00C7624B" w:rsidP="00C7624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C7624B" w:rsidRPr="00545C45" w:rsidRDefault="00C7624B" w:rsidP="00C7624B">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lastRenderedPageBreak/>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C7624B" w:rsidRDefault="00C7624B" w:rsidP="004008AE">
      <w:pPr>
        <w:jc w:val="right"/>
        <w:sectPr w:rsidR="00C7624B" w:rsidSect="00C7624B">
          <w:type w:val="continuous"/>
          <w:pgSz w:w="11906" w:h="16838"/>
          <w:pgMar w:top="1440" w:right="707" w:bottom="1440" w:left="1134" w:header="708" w:footer="708" w:gutter="0"/>
          <w:cols w:num="2" w:space="708"/>
          <w:bidi/>
          <w:rtlGutter/>
          <w:docGrid w:linePitch="360"/>
        </w:sectPr>
      </w:pPr>
    </w:p>
    <w:p w:rsidR="004219C3" w:rsidRDefault="004219C3" w:rsidP="004008AE">
      <w:pPr>
        <w:jc w:val="right"/>
      </w:pPr>
    </w:p>
    <w:sectPr w:rsidR="004219C3" w:rsidSect="00C7624B">
      <w:type w:val="continuous"/>
      <w:pgSz w:w="11906" w:h="16838"/>
      <w:pgMar w:top="1440" w:right="707" w:bottom="1440" w:left="1134"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057" w:rsidRDefault="006D1057" w:rsidP="00C66F24">
      <w:r>
        <w:separator/>
      </w:r>
    </w:p>
  </w:endnote>
  <w:endnote w:type="continuationSeparator" w:id="1">
    <w:p w:rsidR="006D1057" w:rsidRDefault="006D1057" w:rsidP="00C66F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Mateen">
    <w:altName w:val="Times New Roman"/>
    <w:charset w:val="B2"/>
    <w:family w:val="auto"/>
    <w:pitch w:val="variable"/>
    <w:sig w:usb0="00002000" w:usb1="00000000" w:usb2="00000000" w:usb3="00000000" w:csb0="00000040" w:csb1="00000000"/>
  </w:font>
  <w:font w:name="AGA Granada Regular">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449">
    <w:altName w:val="Times New Roman"/>
    <w:charset w:val="00"/>
    <w:family w:val="auto"/>
    <w:pitch w:val="variable"/>
    <w:sig w:usb0="00000000" w:usb1="90000000" w:usb2="00000008" w:usb3="00000000" w:csb0="80000041" w:csb1="00000000"/>
  </w:font>
  <w:font w:name="QCF_P393">
    <w:altName w:val="Times New Roman"/>
    <w:charset w:val="00"/>
    <w:family w:val="auto"/>
    <w:pitch w:val="variable"/>
    <w:sig w:usb0="00000000" w:usb1="90000000" w:usb2="00000008" w:usb3="00000000" w:csb0="80000041" w:csb1="00000000"/>
  </w:font>
  <w:font w:name="QCF_P580">
    <w:altName w:val="Times New Roman"/>
    <w:charset w:val="00"/>
    <w:family w:val="auto"/>
    <w:pitch w:val="variable"/>
    <w:sig w:usb0="00000000" w:usb1="90000000" w:usb2="00000008" w:usb3="00000000" w:csb0="80000041" w:csb1="00000000"/>
  </w:font>
  <w:font w:name="QCF_P255">
    <w:altName w:val="Times New Roman"/>
    <w:charset w:val="00"/>
    <w:family w:val="auto"/>
    <w:pitch w:val="variable"/>
    <w:sig w:usb0="00000000"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QCF_P049">
    <w:altName w:val="Times New Roman"/>
    <w:charset w:val="00"/>
    <w:family w:val="auto"/>
    <w:pitch w:val="variable"/>
    <w:sig w:usb0="00000000" w:usb1="90000000" w:usb2="00000008" w:usb3="00000000" w:csb0="80000041" w:csb1="00000000"/>
  </w:font>
  <w:font w:name="QCF_P297">
    <w:altName w:val="Times New Roman"/>
    <w:charset w:val="00"/>
    <w:family w:val="auto"/>
    <w:pitch w:val="variable"/>
    <w:sig w:usb0="00000000" w:usb1="90000000" w:usb2="00000008" w:usb3="00000000" w:csb0="80000041" w:csb1="00000000"/>
  </w:font>
  <w:font w:name="QCF_P527">
    <w:altName w:val="Times New Roman"/>
    <w:charset w:val="00"/>
    <w:family w:val="auto"/>
    <w:pitch w:val="variable"/>
    <w:sig w:usb0="00000000" w:usb1="90000000" w:usb2="00000008" w:usb3="00000000" w:csb0="80000041" w:csb1="00000000"/>
  </w:font>
  <w:font w:name="QCF_BSML">
    <w:altName w:val="Times New Roman"/>
    <w:charset w:val="00"/>
    <w:family w:val="auto"/>
    <w:pitch w:val="variable"/>
    <w:sig w:usb0="00000000" w:usb1="90000000" w:usb2="00000008" w:usb3="00000000" w:csb0="80000041" w:csb1="00000000"/>
  </w:font>
  <w:font w:name="QCF_P233">
    <w:altName w:val="Times New Roman"/>
    <w:charset w:val="00"/>
    <w:family w:val="auto"/>
    <w:pitch w:val="variable"/>
    <w:sig w:usb0="00000000" w:usb1="90000000" w:usb2="00000008" w:usb3="00000000" w:csb0="80000041" w:csb1="00000000"/>
  </w:font>
  <w:font w:name="QCF_P331">
    <w:altName w:val="Times New Roman"/>
    <w:charset w:val="00"/>
    <w:family w:val="auto"/>
    <w:pitch w:val="variable"/>
    <w:sig w:usb0="00000000" w:usb1="90000000" w:usb2="00000008" w:usb3="00000000" w:csb0="80000041" w:csb1="00000000"/>
  </w:font>
  <w:font w:name="QCF_P465">
    <w:altName w:val="Times New Roman"/>
    <w:charset w:val="00"/>
    <w:family w:val="auto"/>
    <w:pitch w:val="variable"/>
    <w:sig w:usb0="00000000" w:usb1="90000000" w:usb2="00000008" w:usb3="00000000" w:csb0="80000041" w:csb1="00000000"/>
  </w:font>
  <w:font w:name="QCF_P261">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6A" w:rsidRPr="00C54812" w:rsidRDefault="006D1057"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057" w:rsidRDefault="006D1057" w:rsidP="00C66F24">
      <w:r>
        <w:separator/>
      </w:r>
    </w:p>
  </w:footnote>
  <w:footnote w:type="continuationSeparator" w:id="1">
    <w:p w:rsidR="006D1057" w:rsidRDefault="006D1057" w:rsidP="00C66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56" w:rsidRPr="00C54812" w:rsidRDefault="00D95743">
    <w:pPr>
      <w:pStyle w:val="Header"/>
    </w:pPr>
    <w:r>
      <w:rPr>
        <w:noProof/>
      </w:rPr>
      <w:pict>
        <v:group id="_x0000_s1025" style="position:absolute;margin-left:3.5pt;margin-top:76.05pt;width:333.5pt;height:619.25pt;z-index:251660288"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607D56" w:rsidRPr="00907733" w:rsidRDefault="00D95743" w:rsidP="00832151">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F70F87"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F70F87">
                    <w:rPr>
                      <w:rStyle w:val="PageNumber"/>
                      <w:rFonts w:cs="AL-Mateen"/>
                      <w:noProof/>
                      <w:color w:val="FFFFFF"/>
                      <w:sz w:val="40"/>
                      <w:szCs w:val="40"/>
                      <w:rtl/>
                    </w:rPr>
                    <w:t>556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28"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0"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0">
              <w:txbxContent>
                <w:p w:rsidR="00607D56" w:rsidRPr="00E31343" w:rsidRDefault="006D1057" w:rsidP="00832151">
                  <w:pPr>
                    <w:ind w:left="428"/>
                    <w:rPr>
                      <w:rFonts w:cs="AGA Granada Regular"/>
                      <w:color w:val="FFFFFF"/>
                      <w:sz w:val="36"/>
                      <w:szCs w:val="36"/>
                      <w:rtl/>
                    </w:rPr>
                  </w:pPr>
                </w:p>
              </w:txbxContent>
            </v:textbox>
          </v:rect>
          <v:shape id="_x0000_s1031"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7170"/>
    <o:shapelayout v:ext="edit">
      <o:idmap v:ext="edit" data="1"/>
      <o:rules v:ext="edit">
        <o:r id="V:Rule2" type="connector" idref="#_x0000_s1028"/>
      </o:rules>
    </o:shapelayout>
  </w:hdrShapeDefaults>
  <w:footnotePr>
    <w:footnote w:id="0"/>
    <w:footnote w:id="1"/>
  </w:footnotePr>
  <w:endnotePr>
    <w:endnote w:id="0"/>
    <w:endnote w:id="1"/>
  </w:endnotePr>
  <w:compat/>
  <w:rsids>
    <w:rsidRoot w:val="004008AE"/>
    <w:rsid w:val="000D3D1A"/>
    <w:rsid w:val="00104334"/>
    <w:rsid w:val="001A2769"/>
    <w:rsid w:val="004008AE"/>
    <w:rsid w:val="004168A0"/>
    <w:rsid w:val="004219C3"/>
    <w:rsid w:val="006D1057"/>
    <w:rsid w:val="00705E14"/>
    <w:rsid w:val="00BF15F9"/>
    <w:rsid w:val="00C66F24"/>
    <w:rsid w:val="00C7624B"/>
    <w:rsid w:val="00D95743"/>
    <w:rsid w:val="00F70F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8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08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008AE"/>
    <w:pPr>
      <w:ind w:left="75" w:right="75"/>
      <w:jc w:val="both"/>
    </w:pPr>
    <w:rPr>
      <w:rFonts w:ascii="Tahoma" w:hAnsi="Tahoma" w:cs="Tahoma"/>
      <w:sz w:val="36"/>
      <w:szCs w:val="36"/>
    </w:rPr>
  </w:style>
  <w:style w:type="paragraph" w:styleId="Header">
    <w:name w:val="header"/>
    <w:basedOn w:val="Normal"/>
    <w:link w:val="HeaderChar"/>
    <w:rsid w:val="004008AE"/>
    <w:pPr>
      <w:tabs>
        <w:tab w:val="center" w:pos="4153"/>
        <w:tab w:val="right" w:pos="8306"/>
      </w:tabs>
    </w:pPr>
  </w:style>
  <w:style w:type="character" w:customStyle="1" w:styleId="HeaderChar">
    <w:name w:val="Header Char"/>
    <w:basedOn w:val="DefaultParagraphFont"/>
    <w:link w:val="Header"/>
    <w:rsid w:val="004008AE"/>
    <w:rPr>
      <w:rFonts w:ascii="Times New Roman" w:eastAsia="Times New Roman" w:hAnsi="Times New Roman" w:cs="Times New Roman"/>
      <w:sz w:val="24"/>
      <w:szCs w:val="24"/>
    </w:rPr>
  </w:style>
  <w:style w:type="paragraph" w:styleId="Footer">
    <w:name w:val="footer"/>
    <w:basedOn w:val="Normal"/>
    <w:link w:val="FooterChar"/>
    <w:rsid w:val="004008AE"/>
    <w:pPr>
      <w:tabs>
        <w:tab w:val="center" w:pos="4153"/>
        <w:tab w:val="right" w:pos="8306"/>
      </w:tabs>
    </w:pPr>
  </w:style>
  <w:style w:type="character" w:customStyle="1" w:styleId="FooterChar">
    <w:name w:val="Footer Char"/>
    <w:basedOn w:val="DefaultParagraphFont"/>
    <w:link w:val="Footer"/>
    <w:rsid w:val="004008AE"/>
    <w:rPr>
      <w:rFonts w:ascii="Times New Roman" w:eastAsia="Times New Roman" w:hAnsi="Times New Roman" w:cs="Times New Roman"/>
      <w:sz w:val="24"/>
      <w:szCs w:val="24"/>
    </w:rPr>
  </w:style>
  <w:style w:type="character" w:styleId="PageNumber">
    <w:name w:val="page number"/>
    <w:basedOn w:val="DefaultParagraphFont"/>
    <w:rsid w:val="004008AE"/>
  </w:style>
  <w:style w:type="paragraph" w:customStyle="1" w:styleId="Affiliation">
    <w:name w:val="Affiliation"/>
    <w:rsid w:val="004008AE"/>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008AE"/>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4008AE"/>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4008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med.mahdey@mediu.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11573-8A0F-4DD0-8F8A-767BD1EC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1157</Words>
  <Characters>6598</Characters>
  <Application>Microsoft Office Word</Application>
  <DocSecurity>0</DocSecurity>
  <Lines>54</Lines>
  <Paragraphs>15</Paragraphs>
  <ScaleCrop>false</ScaleCrop>
  <Company>Fannan</Company>
  <LinksUpToDate>false</LinksUpToDate>
  <CharactersWithSpaces>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4</cp:revision>
  <dcterms:created xsi:type="dcterms:W3CDTF">2013-06-18T16:45:00Z</dcterms:created>
  <dcterms:modified xsi:type="dcterms:W3CDTF">2013-07-02T13:47:00Z</dcterms:modified>
</cp:coreProperties>
</file>