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62B86" w:rsidP="00362B86">
      <w:pPr>
        <w:spacing w:line="240" w:lineRule="auto"/>
        <w:jc w:val="center"/>
        <w:rPr>
          <w:i/>
          <w:iCs/>
          <w:rtl/>
        </w:rPr>
      </w:pPr>
      <w:r w:rsidRPr="00362B86">
        <w:rPr>
          <w:rFonts w:asciiTheme="majorBidi" w:eastAsia="Calibri" w:hAnsiTheme="majorBidi" w:cstheme="majorBidi"/>
          <w:i/>
          <w:iCs/>
          <w:sz w:val="48"/>
          <w:szCs w:val="48"/>
          <w:rtl/>
        </w:rPr>
        <w:t>الإسرائيليات التي وردت في قصة إبراهيم</w:t>
      </w:r>
    </w:p>
    <w:p w:rsidR="00362B86" w:rsidRPr="009264EA" w:rsidRDefault="00362B86" w:rsidP="00362B86">
      <w:pPr>
        <w:pStyle w:val="papersubtitle"/>
        <w:bidi/>
        <w:rPr>
          <w:i/>
          <w:iCs/>
          <w:rtl/>
        </w:rPr>
      </w:pPr>
      <w:r w:rsidRPr="009264EA">
        <w:rPr>
          <w:i/>
          <w:iCs/>
          <w:rtl/>
        </w:rPr>
        <w:t xml:space="preserve">بحث  فى </w:t>
      </w:r>
      <w:r>
        <w:rPr>
          <w:rFonts w:hint="cs"/>
          <w:i/>
          <w:iCs/>
          <w:rtl/>
        </w:rPr>
        <w:t>الدخيل فى التفسير</w:t>
      </w:r>
    </w:p>
    <w:p w:rsidR="00362B86" w:rsidRPr="009264EA" w:rsidRDefault="00362B86" w:rsidP="00832038">
      <w:pPr>
        <w:pStyle w:val="papersubtitle"/>
        <w:bidi/>
        <w:rPr>
          <w:i/>
          <w:iCs/>
          <w:sz w:val="24"/>
          <w:szCs w:val="24"/>
          <w:lang w:bidi="ar-EG"/>
        </w:rPr>
      </w:pPr>
      <w:r w:rsidRPr="009264EA">
        <w:rPr>
          <w:i/>
          <w:iCs/>
          <w:sz w:val="24"/>
          <w:szCs w:val="24"/>
          <w:rtl/>
        </w:rPr>
        <w:t xml:space="preserve">إعداد أ/ </w:t>
      </w:r>
      <w:r w:rsidR="00832038" w:rsidRPr="00832038">
        <w:rPr>
          <w:i/>
          <w:iCs/>
          <w:sz w:val="24"/>
          <w:szCs w:val="24"/>
          <w:rtl/>
          <w:lang w:bidi="ar-EG"/>
        </w:rPr>
        <w:t>أحمد عبد الحميد مهدي</w:t>
      </w:r>
    </w:p>
    <w:p w:rsidR="00362B86" w:rsidRPr="009264EA" w:rsidRDefault="00362B86" w:rsidP="00362B8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62B86" w:rsidRPr="009264EA" w:rsidRDefault="00362B86" w:rsidP="00362B8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62B86" w:rsidRPr="009264EA" w:rsidRDefault="00362B86" w:rsidP="00362B86">
      <w:pPr>
        <w:pStyle w:val="papersubtitle"/>
        <w:bidi/>
        <w:rPr>
          <w:i/>
          <w:iCs/>
          <w:sz w:val="22"/>
          <w:szCs w:val="22"/>
          <w:rtl/>
        </w:rPr>
      </w:pPr>
      <w:r w:rsidRPr="009264EA">
        <w:rPr>
          <w:i/>
          <w:iCs/>
          <w:sz w:val="22"/>
          <w:szCs w:val="22"/>
          <w:rtl/>
        </w:rPr>
        <w:t>شاه علم – ماليزيا</w:t>
      </w:r>
    </w:p>
    <w:p w:rsidR="00362B86" w:rsidRDefault="00832038" w:rsidP="00362B86">
      <w:pPr>
        <w:spacing w:line="240" w:lineRule="auto"/>
        <w:jc w:val="center"/>
        <w:rPr>
          <w:rFonts w:ascii="Calibri" w:hAnsi="Calibri" w:cs="AL-Mateen"/>
          <w:sz w:val="32"/>
          <w:szCs w:val="32"/>
          <w:lang w:bidi="ar-EG"/>
        </w:rPr>
      </w:pPr>
      <w:r w:rsidRPr="00832038">
        <w:rPr>
          <w:rFonts w:asciiTheme="majorBidi" w:hAnsiTheme="majorBidi" w:cs="AL-Hotham"/>
          <w:i/>
          <w:iCs/>
          <w:lang w:bidi="ar-EG"/>
        </w:rPr>
        <w:t>ahmed.mahdey@mediu.ws</w:t>
      </w:r>
    </w:p>
    <w:p w:rsidR="00362B86" w:rsidRDefault="00362B86" w:rsidP="00362B86">
      <w:pPr>
        <w:spacing w:after="120" w:line="240" w:lineRule="auto"/>
        <w:rPr>
          <w:rFonts w:asciiTheme="majorBidi" w:hAnsiTheme="majorBidi" w:cstheme="majorBidi"/>
          <w:b/>
          <w:bCs/>
          <w:sz w:val="20"/>
          <w:szCs w:val="20"/>
          <w:rtl/>
        </w:rPr>
        <w:sectPr w:rsidR="00362B86" w:rsidSect="00BF7572">
          <w:pgSz w:w="11906" w:h="16838"/>
          <w:pgMar w:top="964" w:right="1021" w:bottom="964" w:left="1021" w:header="709" w:footer="709" w:gutter="0"/>
          <w:cols w:space="708"/>
          <w:bidi/>
          <w:rtlGutter/>
          <w:docGrid w:linePitch="360"/>
        </w:sectPr>
      </w:pPr>
    </w:p>
    <w:p w:rsidR="00362B86" w:rsidRPr="0025355B" w:rsidRDefault="00362B86" w:rsidP="00362B86">
      <w:pPr>
        <w:spacing w:after="120" w:line="240" w:lineRule="auto"/>
        <w:rPr>
          <w:rFonts w:asciiTheme="majorBidi" w:hAnsiTheme="majorBidi" w:cstheme="majorBidi"/>
          <w:b/>
          <w:bCs/>
          <w:sz w:val="20"/>
          <w:szCs w:val="20"/>
          <w:rtl/>
        </w:rPr>
      </w:pPr>
      <w:r w:rsidRPr="0025355B">
        <w:rPr>
          <w:rFonts w:asciiTheme="majorBidi" w:hAnsiTheme="majorBidi" w:cstheme="majorBidi"/>
          <w:b/>
          <w:bCs/>
          <w:sz w:val="20"/>
          <w:szCs w:val="20"/>
          <w:rtl/>
        </w:rPr>
        <w:lastRenderedPageBreak/>
        <w:t xml:space="preserve">خلاصة ـــ هذا البحث يبحث في </w:t>
      </w:r>
      <w:r w:rsidRPr="0025355B">
        <w:rPr>
          <w:rFonts w:asciiTheme="majorBidi" w:eastAsia="Calibri" w:hAnsiTheme="majorBidi" w:cstheme="majorBidi"/>
          <w:b/>
          <w:bCs/>
          <w:sz w:val="20"/>
          <w:szCs w:val="20"/>
          <w:rtl/>
        </w:rPr>
        <w:t>الإسرائيليات التي وردت في قصة إبراهيم</w:t>
      </w:r>
    </w:p>
    <w:p w:rsidR="00362B86" w:rsidRPr="0025355B" w:rsidRDefault="00362B86" w:rsidP="00362B86">
      <w:pPr>
        <w:spacing w:after="120" w:line="240" w:lineRule="auto"/>
        <w:rPr>
          <w:rFonts w:asciiTheme="majorBidi" w:hAnsiTheme="majorBidi" w:cstheme="majorBidi"/>
          <w:b/>
          <w:bCs/>
          <w:sz w:val="20"/>
          <w:szCs w:val="20"/>
          <w:rtl/>
        </w:rPr>
      </w:pPr>
      <w:r w:rsidRPr="0025355B">
        <w:rPr>
          <w:rFonts w:asciiTheme="majorBidi" w:hAnsiTheme="majorBidi" w:cstheme="majorBidi"/>
          <w:b/>
          <w:bCs/>
          <w:sz w:val="20"/>
          <w:szCs w:val="20"/>
          <w:rtl/>
        </w:rPr>
        <w:t xml:space="preserve">الكلمات المفتاحية : القرآن الكريم ، الأنبياء ، </w:t>
      </w:r>
      <w:r w:rsidRPr="0025355B">
        <w:rPr>
          <w:rFonts w:asciiTheme="majorBidi" w:eastAsia="Calibri" w:hAnsiTheme="majorBidi" w:cstheme="majorBidi"/>
          <w:b/>
          <w:bCs/>
          <w:sz w:val="20"/>
          <w:szCs w:val="20"/>
          <w:rtl/>
        </w:rPr>
        <w:t>الإسرائيليات</w:t>
      </w:r>
    </w:p>
    <w:p w:rsidR="00362B86" w:rsidRPr="0025355B" w:rsidRDefault="00362B86" w:rsidP="00362B86">
      <w:pPr>
        <w:pStyle w:val="a4"/>
        <w:numPr>
          <w:ilvl w:val="0"/>
          <w:numId w:val="1"/>
        </w:numPr>
        <w:spacing w:after="120"/>
        <w:jc w:val="center"/>
        <w:rPr>
          <w:rFonts w:asciiTheme="majorBidi" w:hAnsiTheme="majorBidi" w:cstheme="majorBidi"/>
          <w:b/>
          <w:bCs/>
          <w:sz w:val="20"/>
          <w:szCs w:val="20"/>
          <w:rtl/>
        </w:rPr>
      </w:pPr>
      <w:r w:rsidRPr="0025355B">
        <w:rPr>
          <w:rFonts w:asciiTheme="majorBidi" w:hAnsiTheme="majorBidi" w:cstheme="majorBidi"/>
          <w:b/>
          <w:bCs/>
          <w:sz w:val="20"/>
          <w:szCs w:val="20"/>
          <w:rtl/>
        </w:rPr>
        <w:t>المقدمة</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5355B">
        <w:rPr>
          <w:rFonts w:asciiTheme="majorBidi" w:eastAsia="Calibri" w:hAnsiTheme="majorBidi" w:cstheme="majorBidi"/>
          <w:b/>
          <w:bCs/>
          <w:sz w:val="20"/>
          <w:szCs w:val="20"/>
          <w:rtl/>
        </w:rPr>
        <w:t>الإسرائيليات التي وردت في قصة إبراهيم</w:t>
      </w:r>
    </w:p>
    <w:p w:rsidR="00362B86" w:rsidRPr="0025355B" w:rsidRDefault="00362B86" w:rsidP="00362B8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25355B">
        <w:rPr>
          <w:rFonts w:asciiTheme="majorBidi" w:hAnsiTheme="majorBidi" w:cstheme="majorBidi"/>
          <w:b/>
          <w:bCs/>
          <w:sz w:val="20"/>
          <w:szCs w:val="20"/>
          <w:rtl/>
        </w:rPr>
        <w:t>عنوان المقال</w:t>
      </w:r>
    </w:p>
    <w:p w:rsidR="00362B86" w:rsidRPr="0025355B" w:rsidRDefault="00362B86" w:rsidP="0025355B">
      <w:pPr>
        <w:pStyle w:val="a3"/>
        <w:bidi/>
        <w:spacing w:before="0" w:beforeAutospacing="0" w:after="120" w:afterAutospacing="0"/>
        <w:jc w:val="both"/>
        <w:rPr>
          <w:rFonts w:asciiTheme="majorBidi" w:hAnsiTheme="majorBidi" w:cstheme="majorBidi"/>
          <w:b/>
          <w:bCs/>
          <w:sz w:val="20"/>
          <w:szCs w:val="20"/>
          <w:rtl/>
        </w:rPr>
      </w:pPr>
      <w:r w:rsidRPr="0025355B">
        <w:rPr>
          <w:rFonts w:asciiTheme="majorBidi" w:hAnsiTheme="majorBidi" w:cstheme="majorBidi"/>
          <w:b/>
          <w:bCs/>
          <w:sz w:val="20"/>
          <w:szCs w:val="20"/>
          <w:rtl/>
        </w:rPr>
        <w:t xml:space="preserve">ورد في القرآن الكريم ذكر لأبي الأنبياء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وهو من هو، هو أبو الأنبياء، وله مواقف عظيمة في القرآن الكريم، فنعرف ما ذكره الله في شأنه: </w:t>
      </w:r>
      <w:r w:rsidR="0025355B" w:rsidRPr="0025355B">
        <w:rPr>
          <w:rFonts w:ascii="Tahoma" w:hAnsi="Tahoma" w:cs="DecoType Thuluth" w:hint="cs"/>
          <w:color w:val="008000"/>
          <w:sz w:val="20"/>
          <w:szCs w:val="20"/>
          <w:rtl/>
        </w:rPr>
        <w:t>{</w:t>
      </w:r>
      <w:r w:rsidR="0025355B" w:rsidRPr="0025355B">
        <w:rPr>
          <w:rFonts w:ascii="QCF_P281" w:hAnsi="QCF_P281" w:cs="QCF_P281"/>
          <w:color w:val="008000"/>
          <w:sz w:val="20"/>
          <w:szCs w:val="20"/>
          <w:rtl/>
        </w:rPr>
        <w:t>ﭥ ﭦ ﭧ ﭨ ﭩ ﭪ ﭫ ﭬ ﭭ ﭮ ﭯ</w:t>
      </w:r>
      <w:r w:rsidR="0025355B" w:rsidRPr="0025355B">
        <w:rPr>
          <w:rFonts w:ascii="QCF_P281" w:hAnsi="QCF_P281" w:cs="DecoType Thuluth"/>
          <w:color w:val="008000"/>
          <w:sz w:val="20"/>
          <w:szCs w:val="20"/>
          <w:rtl/>
        </w:rPr>
        <w:t>}</w:t>
      </w:r>
      <w:r w:rsidR="0025355B"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 xml:space="preserve">[النحل: 120]، وإبراهيم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هو صاحب الملة العظيمة التي كان عليها الأنبياء من بعد، وهو أنه كان مسلمًا، </w:t>
      </w:r>
      <w:r w:rsidRPr="0025355B">
        <w:rPr>
          <w:rFonts w:asciiTheme="majorBidi" w:hAnsiTheme="majorBidi" w:cstheme="majorBidi"/>
          <w:b/>
          <w:bCs/>
          <w:spacing w:val="20"/>
          <w:position w:val="-4"/>
          <w:sz w:val="20"/>
          <w:szCs w:val="20"/>
        </w:rPr>
        <w:sym w:font="AGA Arabesque" w:char="F065"/>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w:t>
      </w:r>
    </w:p>
    <w:p w:rsidR="00362B86" w:rsidRPr="0025355B" w:rsidRDefault="00362B86" w:rsidP="0025355B">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ولإبراهيم في القرآن مواقف متعددة، فله مواقف مع قومه، وله مواقف مع النمرود، وله مواقف مع أبيه: </w:t>
      </w:r>
      <w:r w:rsidR="0025355B" w:rsidRPr="0025355B">
        <w:rPr>
          <w:rFonts w:ascii="Tahoma" w:hAnsi="Tahoma" w:cs="DecoType Thuluth" w:hint="cs"/>
          <w:color w:val="008000"/>
          <w:sz w:val="20"/>
          <w:szCs w:val="20"/>
          <w:rtl/>
        </w:rPr>
        <w:t>{</w:t>
      </w:r>
      <w:r w:rsidR="0025355B" w:rsidRPr="0025355B">
        <w:rPr>
          <w:rFonts w:ascii="QCF_P308" w:hAnsi="QCF_P308" w:cs="QCF_P308"/>
          <w:color w:val="008000"/>
          <w:sz w:val="20"/>
          <w:szCs w:val="20"/>
          <w:rtl/>
        </w:rPr>
        <w:t>ﮚ ﮛ ﮜ ﮝ ﮞ ﮟ ﮠ ﮡ ﮢ ﮣ ﮤ</w:t>
      </w:r>
      <w:r w:rsidR="0025355B" w:rsidRPr="0025355B">
        <w:rPr>
          <w:rFonts w:ascii="QCF_P308" w:hAnsi="QCF_P308" w:cs="DecoType Thuluth"/>
          <w:color w:val="008000"/>
          <w:sz w:val="20"/>
          <w:szCs w:val="20"/>
          <w:rtl/>
        </w:rPr>
        <w:t>}</w:t>
      </w:r>
      <w:r w:rsidR="0025355B"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[مريم: 45]، الآيات..، له مواقف كثيرة، وهل أبوه هو آزر الذي ذكر نص</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ا في الآيات؟ أم أن آزر هذا ليس أباه بل هو عمه</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كلام حول هذا في كتب التفسير، إسرائيليات وردت في هذه الآيات الكريمات، ولنعد إلى إبراهيم الخليل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w:t>
      </w:r>
    </w:p>
    <w:p w:rsidR="00362B86" w:rsidRPr="0025355B" w:rsidRDefault="00362B86" w:rsidP="0025355B">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ذكروا أن اسمه هو إبراهيم بن تارح بن ناحور بن ساروج بن رعو بن فالج بن عابر بن شالح بن أرف</w:t>
      </w:r>
      <w:r w:rsidRPr="0025355B">
        <w:rPr>
          <w:rFonts w:asciiTheme="majorBidi" w:hAnsiTheme="majorBidi" w:cstheme="majorBidi"/>
          <w:b/>
          <w:bCs/>
          <w:sz w:val="20"/>
          <w:szCs w:val="20"/>
          <w:rtl/>
          <w:lang w:bidi="ar-EG"/>
        </w:rPr>
        <w:t>ج</w:t>
      </w:r>
      <w:r w:rsidRPr="0025355B">
        <w:rPr>
          <w:rFonts w:asciiTheme="majorBidi" w:hAnsiTheme="majorBidi" w:cstheme="majorBidi"/>
          <w:b/>
          <w:bCs/>
          <w:sz w:val="20"/>
          <w:szCs w:val="20"/>
          <w:rtl/>
        </w:rPr>
        <w:t xml:space="preserve">شاز بن سام بن نوح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طبيعي أنّ هذا النسب لم يذكر لا في القرآن ولا في صحيح السنة، إنما هذا كتب في تفسير الآيات من المفسرين، ولعله منقول من التوراة، أو كتب التاريخ القديمة، نعم؛ ولذلك هذا يذكر ولا يصدق قولًا واحدًا، ولا ينكر أيضًا قولًا واحدًا، هذا نسب موجود في التوراة</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وقد جاء في الكتاب الكريم قرآن ربي: </w:t>
      </w:r>
      <w:r w:rsidR="0025355B" w:rsidRPr="0025355B">
        <w:rPr>
          <w:rFonts w:ascii="Tahoma" w:hAnsi="Tahoma" w:cs="DecoType Thuluth" w:hint="cs"/>
          <w:color w:val="008000"/>
          <w:sz w:val="20"/>
          <w:szCs w:val="20"/>
          <w:rtl/>
        </w:rPr>
        <w:t>{</w:t>
      </w:r>
      <w:r w:rsidR="0025355B" w:rsidRPr="0025355B">
        <w:rPr>
          <w:rFonts w:ascii="QCF_P137" w:hAnsi="QCF_P137" w:cs="QCF_P137"/>
          <w:color w:val="008000"/>
          <w:sz w:val="20"/>
          <w:szCs w:val="20"/>
          <w:rtl/>
        </w:rPr>
        <w:t>ﭒ ﭓ ﭔ ﭕ ﭖ ﭗ ﭘ ﭙ ﭚ ﭛ ﭜ ﭝ ﭞ ﭟ ﭠ</w:t>
      </w:r>
      <w:r w:rsidR="0025355B" w:rsidRPr="0025355B">
        <w:rPr>
          <w:rFonts w:ascii="QCF_P137" w:hAnsi="QCF_P137" w:cs="DecoType Thuluth"/>
          <w:color w:val="008000"/>
          <w:sz w:val="20"/>
          <w:szCs w:val="20"/>
          <w:rtl/>
        </w:rPr>
        <w:t>}</w:t>
      </w:r>
      <w:r w:rsidR="0025355B"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[الأنعام: 74].</w:t>
      </w:r>
    </w:p>
    <w:p w:rsidR="00362B86" w:rsidRPr="0025355B" w:rsidRDefault="00362B86" w:rsidP="0025355B">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وقد اختلف المفسرون في اسم أبي إبراهيم، فقال بعضهم: إنّ لفظ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في الآية، بدل من لفظ لأبيه، ويكون مقول القول: </w:t>
      </w:r>
      <w:r w:rsidR="0025355B" w:rsidRPr="0025355B">
        <w:rPr>
          <w:rFonts w:ascii="Tahoma" w:hAnsi="Tahoma" w:cs="DecoType Thuluth" w:hint="cs"/>
          <w:color w:val="008000"/>
          <w:sz w:val="20"/>
          <w:szCs w:val="20"/>
          <w:rtl/>
          <w:lang w:bidi="ar-EG"/>
        </w:rPr>
        <w:t>{</w:t>
      </w:r>
      <w:r w:rsidR="0025355B" w:rsidRPr="0025355B">
        <w:rPr>
          <w:rFonts w:ascii="QCF_P137" w:hAnsi="QCF_P137" w:cs="QCF_P137"/>
          <w:color w:val="008000"/>
          <w:sz w:val="20"/>
          <w:szCs w:val="20"/>
          <w:rtl/>
        </w:rPr>
        <w:t>ﭗ ﭘ ﭙ</w:t>
      </w:r>
      <w:r w:rsidR="0025355B" w:rsidRPr="0025355B">
        <w:rPr>
          <w:rFonts w:ascii="QCF_P137" w:hAnsi="QCF_P137" w:cs="DecoType Thuluth"/>
          <w:color w:val="008000"/>
          <w:sz w:val="20"/>
          <w:szCs w:val="20"/>
          <w:rtl/>
        </w:rPr>
        <w:t>}</w:t>
      </w:r>
      <w:r w:rsidR="0025355B" w:rsidRPr="0025355B">
        <w:rPr>
          <w:rFonts w:ascii="Tahoma" w:hAnsi="Tahoma" w:cs="AL-Hotham" w:hint="cs"/>
          <w:sz w:val="20"/>
          <w:szCs w:val="20"/>
          <w:rtl/>
        </w:rPr>
        <w:t xml:space="preserve"> </w:t>
      </w:r>
      <w:r w:rsidRPr="0025355B">
        <w:rPr>
          <w:rFonts w:asciiTheme="majorBidi" w:hAnsiTheme="majorBidi" w:cstheme="majorBidi"/>
          <w:b/>
          <w:bCs/>
          <w:sz w:val="20"/>
          <w:szCs w:val="20"/>
          <w:rtl/>
        </w:rPr>
        <w:t xml:space="preserve">يكون هذا الكلام موجه لأبيه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وقال آخرون: إن اسمه "تارح" وأن لفظ "آزر" كلمة ذم في نعته ومعناه أعرج، كما قال السهيلي في (التكملة)، وقال آخرون: إن معناه الخاطئ، وفي (التكملة) يا مخطئ يا خرف،</w:t>
      </w:r>
      <w:r w:rsidRPr="0025355B">
        <w:rPr>
          <w:rFonts w:asciiTheme="majorBidi" w:hAnsiTheme="majorBidi" w:cstheme="majorBidi"/>
          <w:b/>
          <w:bCs/>
          <w:sz w:val="20"/>
          <w:szCs w:val="20"/>
          <w:rtl/>
          <w:lang w:bidi="ar-EG"/>
        </w:rPr>
        <w:t xml:space="preserve"> كما قال: إن كلمة "آزر" تعني وصفا ليس جيدا</w:t>
      </w:r>
      <w:r w:rsidRPr="0025355B">
        <w:rPr>
          <w:rFonts w:asciiTheme="majorBidi" w:hAnsiTheme="majorBidi" w:cstheme="majorBidi"/>
          <w:b/>
          <w:bCs/>
          <w:sz w:val="20"/>
          <w:szCs w:val="20"/>
          <w:rtl/>
        </w:rPr>
        <w:t xml:space="preserve"> </w:t>
      </w:r>
      <w:r w:rsidRPr="0025355B">
        <w:rPr>
          <w:rFonts w:asciiTheme="majorBidi" w:hAnsiTheme="majorBidi" w:cstheme="majorBidi"/>
          <w:b/>
          <w:bCs/>
          <w:sz w:val="20"/>
          <w:szCs w:val="20"/>
          <w:rtl/>
          <w:lang w:bidi="ar-EG"/>
        </w:rPr>
        <w:t xml:space="preserve">فمعناه الخاطئ والخرف، </w:t>
      </w:r>
      <w:r w:rsidRPr="0025355B">
        <w:rPr>
          <w:rFonts w:asciiTheme="majorBidi" w:hAnsiTheme="majorBidi" w:cstheme="majorBidi"/>
          <w:b/>
          <w:bCs/>
          <w:sz w:val="20"/>
          <w:szCs w:val="20"/>
          <w:rtl/>
        </w:rPr>
        <w:t>وقيل: معناه: يا شيخ، أو هي كلمة زجر عن الباطل.</w:t>
      </w:r>
    </w:p>
    <w:p w:rsidR="00362B86" w:rsidRPr="0025355B" w:rsidRDefault="00362B86" w:rsidP="0025355B">
      <w:pPr>
        <w:pStyle w:val="a3"/>
        <w:bidi/>
        <w:spacing w:before="0" w:beforeAutospacing="0" w:after="120" w:afterAutospacing="0"/>
        <w:jc w:val="both"/>
        <w:rPr>
          <w:rFonts w:asciiTheme="majorBidi" w:hAnsiTheme="majorBidi" w:cstheme="majorBidi"/>
          <w:b/>
          <w:bCs/>
          <w:sz w:val="20"/>
          <w:szCs w:val="20"/>
          <w:rtl/>
        </w:rPr>
      </w:pPr>
      <w:r w:rsidRPr="0025355B">
        <w:rPr>
          <w:rFonts w:asciiTheme="majorBidi" w:hAnsiTheme="majorBidi" w:cstheme="majorBidi"/>
          <w:b/>
          <w:bCs/>
          <w:sz w:val="20"/>
          <w:szCs w:val="20"/>
          <w:rtl/>
        </w:rPr>
        <w:t xml:space="preserve">على كل حال إن كانت هذه المعاني في معنى آزر لغة، فليس عندنا ما يجزم، أو يقطع بتحديد واحدٍ منها، بل نقول: إنه بعيد جدًّا أن يكون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قد واجه أباه بكلمات فيها هذا التحقير أو العيب، أو الزجر كأعرج أو خرف أو مخطئ؛ </w:t>
      </w:r>
      <w:r w:rsidRPr="0025355B">
        <w:rPr>
          <w:rFonts w:asciiTheme="majorBidi" w:hAnsiTheme="majorBidi" w:cstheme="majorBidi"/>
          <w:b/>
          <w:bCs/>
          <w:spacing w:val="-2"/>
          <w:sz w:val="20"/>
          <w:szCs w:val="20"/>
          <w:rtl/>
        </w:rPr>
        <w:t xml:space="preserve">لأنَّ إبراهيم </w:t>
      </w:r>
      <w:r w:rsidRPr="0025355B">
        <w:rPr>
          <w:rFonts w:asciiTheme="majorBidi" w:hAnsiTheme="majorBidi" w:cstheme="majorBidi"/>
          <w:b/>
          <w:bCs/>
          <w:spacing w:val="-2"/>
          <w:position w:val="-4"/>
          <w:sz w:val="20"/>
          <w:szCs w:val="20"/>
          <w:rtl/>
        </w:rPr>
        <w:t>#</w:t>
      </w:r>
      <w:r w:rsidRPr="0025355B">
        <w:rPr>
          <w:rFonts w:asciiTheme="majorBidi" w:hAnsiTheme="majorBidi" w:cstheme="majorBidi"/>
          <w:b/>
          <w:bCs/>
          <w:spacing w:val="-2"/>
          <w:sz w:val="20"/>
          <w:szCs w:val="20"/>
          <w:rtl/>
        </w:rPr>
        <w:t xml:space="preserve"> كان لطيفًا في خطابه، وكان بار</w:t>
      </w:r>
      <w:r w:rsidRPr="0025355B">
        <w:rPr>
          <w:rFonts w:asciiTheme="majorBidi" w:hAnsiTheme="majorBidi" w:cstheme="majorBidi"/>
          <w:b/>
          <w:bCs/>
          <w:spacing w:val="-2"/>
          <w:sz w:val="20"/>
          <w:szCs w:val="20"/>
          <w:rtl/>
          <w:lang w:bidi="ar-EG"/>
        </w:rPr>
        <w:t>ًّ</w:t>
      </w:r>
      <w:r w:rsidRPr="0025355B">
        <w:rPr>
          <w:rFonts w:asciiTheme="majorBidi" w:hAnsiTheme="majorBidi" w:cstheme="majorBidi"/>
          <w:b/>
          <w:bCs/>
          <w:spacing w:val="-2"/>
          <w:sz w:val="20"/>
          <w:szCs w:val="20"/>
          <w:rtl/>
        </w:rPr>
        <w:t xml:space="preserve">ا به حتى في دعوته، وإذا ما وصلنا إلى الآيات التي يخاطب فيها إبراهيم أباه: </w:t>
      </w:r>
      <w:r w:rsidR="0025355B" w:rsidRPr="0025355B">
        <w:rPr>
          <w:rFonts w:ascii="Tahoma" w:hAnsi="Tahoma" w:cs="DecoType Thuluth" w:hint="cs"/>
          <w:color w:val="008000"/>
          <w:spacing w:val="-2"/>
          <w:sz w:val="20"/>
          <w:szCs w:val="20"/>
          <w:rtl/>
        </w:rPr>
        <w:t>{</w:t>
      </w:r>
      <w:r w:rsidR="0025355B" w:rsidRPr="0025355B">
        <w:rPr>
          <w:rFonts w:ascii="QCF_P308" w:hAnsi="QCF_P308" w:cs="QCF_P308"/>
          <w:color w:val="008000"/>
          <w:spacing w:val="-2"/>
          <w:sz w:val="20"/>
          <w:szCs w:val="20"/>
          <w:rtl/>
        </w:rPr>
        <w:t>ﮚ ﮛ ﮜ ﮝ ﮞ ﮟ ﮠ ﮡ ﮢ ﮣ ﮤ</w:t>
      </w:r>
      <w:r w:rsidR="0025355B" w:rsidRPr="0025355B">
        <w:rPr>
          <w:rFonts w:ascii="QCF_P308" w:hAnsi="QCF_P308" w:cs="DecoType Thuluth"/>
          <w:color w:val="008000"/>
          <w:spacing w:val="-2"/>
          <w:sz w:val="20"/>
          <w:szCs w:val="20"/>
          <w:rtl/>
        </w:rPr>
        <w:t>}</w:t>
      </w:r>
      <w:r w:rsidR="0025355B" w:rsidRPr="0025355B">
        <w:rPr>
          <w:rFonts w:ascii="Tahoma" w:hAnsi="Tahoma" w:cs="AL-Hotham" w:hint="cs"/>
          <w:spacing w:val="-2"/>
          <w:sz w:val="20"/>
          <w:szCs w:val="20"/>
          <w:rtl/>
        </w:rPr>
        <w:t xml:space="preserve"> </w:t>
      </w:r>
      <w:r w:rsidRPr="0025355B">
        <w:rPr>
          <w:rFonts w:asciiTheme="majorBidi" w:hAnsiTheme="majorBidi" w:cstheme="majorBidi"/>
          <w:b/>
          <w:bCs/>
          <w:spacing w:val="-2"/>
          <w:sz w:val="20"/>
          <w:szCs w:val="20"/>
          <w:rtl/>
        </w:rPr>
        <w:t xml:space="preserve">حتى </w:t>
      </w:r>
      <w:r w:rsidRPr="0025355B">
        <w:rPr>
          <w:rFonts w:asciiTheme="majorBidi" w:hAnsiTheme="majorBidi" w:cstheme="majorBidi"/>
          <w:b/>
          <w:bCs/>
          <w:spacing w:val="-2"/>
          <w:sz w:val="20"/>
          <w:szCs w:val="20"/>
          <w:rtl/>
        </w:rPr>
        <w:lastRenderedPageBreak/>
        <w:t xml:space="preserve">وصل بالآيات: </w:t>
      </w:r>
      <w:r w:rsidR="0025355B" w:rsidRPr="0025355B">
        <w:rPr>
          <w:rFonts w:ascii="Tahoma" w:hAnsi="Tahoma" w:cs="DecoType Thuluth" w:hint="cs"/>
          <w:color w:val="008000"/>
          <w:spacing w:val="-2"/>
          <w:sz w:val="20"/>
          <w:szCs w:val="20"/>
          <w:rtl/>
        </w:rPr>
        <w:t>{</w:t>
      </w:r>
      <w:r w:rsidR="0025355B" w:rsidRPr="0025355B">
        <w:rPr>
          <w:rFonts w:ascii="QCF_P308" w:hAnsi="QCF_P308" w:cs="QCF_P308"/>
          <w:color w:val="008000"/>
          <w:spacing w:val="-2"/>
          <w:sz w:val="20"/>
          <w:szCs w:val="20"/>
          <w:rtl/>
        </w:rPr>
        <w:t>ﮦ ﮧ ﮨ ﮩ ﮪ ﮫ ﮬ ﮭ ﮮ ﮯ ﮰ ﮱ ﯓ ﯔ</w:t>
      </w:r>
      <w:r w:rsidR="0025355B" w:rsidRPr="0025355B">
        <w:rPr>
          <w:rFonts w:ascii="QCF_P308" w:hAnsi="QCF_P308" w:cs="DecoType Thuluth"/>
          <w:color w:val="008000"/>
          <w:spacing w:val="-2"/>
          <w:sz w:val="20"/>
          <w:szCs w:val="20"/>
          <w:rtl/>
        </w:rPr>
        <w:t>}</w:t>
      </w:r>
      <w:r w:rsidR="0025355B" w:rsidRPr="0025355B">
        <w:rPr>
          <w:rFonts w:ascii="Tahoma" w:hAnsi="Tahoma" w:cs="AL-Hotham" w:hint="cs"/>
          <w:spacing w:val="-2"/>
          <w:sz w:val="20"/>
          <w:szCs w:val="20"/>
          <w:rtl/>
        </w:rPr>
        <w:t xml:space="preserve">، </w:t>
      </w:r>
      <w:r w:rsidRPr="0025355B">
        <w:rPr>
          <w:rFonts w:asciiTheme="majorBidi" w:hAnsiTheme="majorBidi" w:cstheme="majorBidi"/>
          <w:b/>
          <w:bCs/>
          <w:spacing w:val="-2"/>
          <w:sz w:val="20"/>
          <w:szCs w:val="20"/>
          <w:rtl/>
        </w:rPr>
        <w:t>[مريم: 46]</w:t>
      </w:r>
      <w:r w:rsidRPr="0025355B">
        <w:rPr>
          <w:rFonts w:asciiTheme="majorBidi" w:hAnsiTheme="majorBidi" w:cstheme="majorBidi"/>
          <w:b/>
          <w:bCs/>
          <w:sz w:val="20"/>
          <w:szCs w:val="20"/>
          <w:rtl/>
        </w:rPr>
        <w:t xml:space="preserve"> فانظر كيف كان رد إبراهيم عليه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قال: </w:t>
      </w:r>
      <w:r w:rsidRPr="0025355B">
        <w:rPr>
          <w:rFonts w:ascii="Tahoma" w:hAnsi="Tahoma" w:cs="DecoType Thuluth" w:hint="cs"/>
          <w:color w:val="008000"/>
          <w:sz w:val="20"/>
          <w:szCs w:val="20"/>
          <w:rtl/>
        </w:rPr>
        <w:t>{</w:t>
      </w:r>
      <w:r w:rsidRPr="0025355B">
        <w:rPr>
          <w:rFonts w:ascii="QCF_P308" w:hAnsi="QCF_P308" w:cs="QCF_P308"/>
          <w:color w:val="008000"/>
          <w:sz w:val="20"/>
          <w:szCs w:val="20"/>
          <w:rtl/>
        </w:rPr>
        <w:t>ﯖ ﯗ ﯘ ﯙ ﯚ ﯛ ﯜ ﯝ ﯞ ﯟ ﯠ ﯡ</w:t>
      </w:r>
      <w:r w:rsidRPr="0025355B">
        <w:rPr>
          <w:rFonts w:ascii="QCF_P308" w:hAnsi="QCF_P308" w:cs="DecoType Thuluth"/>
          <w:color w:val="008000"/>
          <w:sz w:val="20"/>
          <w:szCs w:val="20"/>
          <w:rtl/>
        </w:rPr>
        <w:t>}</w:t>
      </w:r>
      <w:r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 xml:space="preserve">(مريم: 47]، فلا يقبل أن يكون كلمة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كلمة تعييب أو زجر أو ردع من إبراهيم لأبيه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والآيات في هذا الأمر واضحة.</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نرى بعد ذلك أنَّ إبراهيم لما قال لأبيه: </w:t>
      </w:r>
      <w:r w:rsidRPr="0025355B">
        <w:rPr>
          <w:rFonts w:ascii="Tahoma" w:hAnsi="Tahoma" w:cs="DecoType Thuluth" w:hint="cs"/>
          <w:color w:val="008000"/>
          <w:sz w:val="20"/>
          <w:szCs w:val="20"/>
          <w:rtl/>
        </w:rPr>
        <w:t>{</w:t>
      </w:r>
      <w:r w:rsidRPr="0025355B">
        <w:rPr>
          <w:rFonts w:ascii="QCF_P308" w:hAnsi="QCF_P308" w:cs="QCF_P308"/>
          <w:color w:val="008000"/>
          <w:sz w:val="20"/>
          <w:szCs w:val="20"/>
          <w:rtl/>
        </w:rPr>
        <w:t>ﯗ ﯘ</w:t>
      </w:r>
      <w:r w:rsidRPr="0025355B">
        <w:rPr>
          <w:rFonts w:ascii="QCF_P308" w:hAnsi="QCF_P308" w:cs="DecoType Thuluth"/>
          <w:color w:val="008000"/>
          <w:sz w:val="20"/>
          <w:szCs w:val="20"/>
          <w:rtl/>
        </w:rPr>
        <w:t>}</w:t>
      </w:r>
      <w:r w:rsidRPr="0025355B">
        <w:rPr>
          <w:rFonts w:ascii="Tahoma" w:hAnsi="Tahoma" w:cs="AL-Hotham" w:hint="cs"/>
          <w:sz w:val="20"/>
          <w:szCs w:val="20"/>
          <w:rtl/>
        </w:rPr>
        <w:t xml:space="preserve"> </w:t>
      </w:r>
      <w:r w:rsidRPr="0025355B">
        <w:rPr>
          <w:rFonts w:asciiTheme="majorBidi" w:hAnsiTheme="majorBidi" w:cstheme="majorBidi"/>
          <w:b/>
          <w:bCs/>
          <w:sz w:val="20"/>
          <w:szCs w:val="20"/>
          <w:rtl/>
        </w:rPr>
        <w:t xml:space="preserve">هذا واضح في حسن الرد والبر الحسن بالوالد، قال آخرون: إن "تارح" هذا الذي جعلوه اسمًا لأبي إبراهيم واسمه العلم، وأن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وصف له كأنه هذا وصفه وتلك تسميته.</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نقول</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إذا صح أن والد إبراهيم كان له اسم علمي واسم وصفي يكون معناه القوي أو الناصر أو المعين؛ لأن لفظ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من الأزر؛ أي: القوة والنصر والعون، ومنه نقول: الوزير ؛أي: المعين، وهذا في اللفظ واللغة معروف، وقد جاء في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دائرة المعارف الإٍسلامية</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ما نصه، والكلام ذكره شيخنا وأخونا الدكتور علي حسن رضوان يقول: جاء هذا النص في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دائرة المعارف</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آزر اسم أبي إبراهيم في القرآن، في سورة الأنعام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الآية 74</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ويظهر أن في هذا بعض الخلط؛ لأنّ اسم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لم يرد مطلقًا على أنه أبو إبراهيم في غير هذا الموضع، كما أن "تارح" أو "تارخ" قد ورد في روايات بعض المؤرخين والمفسرين من المسلمين على أنه أبو إبراهيم أيضًا؛ ولذلك لجئوا إلى التحايل للتوفيق بين هاتين الروايتين.</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ونعقب على هذا؛ لأن هذا التحايل لا قيمة له، ونصل إلى الرأي الصحيح: </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الرأي الصحيح هو أن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اسم صنم كان يعبده "تارخ" والد إبراهيم وكان سادنًا له، هذا الرأي موجود.</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وروي عن مجاهد في قوله تعالى: </w:t>
      </w:r>
      <w:r w:rsidRPr="0025355B">
        <w:rPr>
          <w:rFonts w:ascii="Tahoma" w:hAnsi="Tahoma" w:cs="DecoType Thuluth" w:hint="cs"/>
          <w:color w:val="008000"/>
          <w:sz w:val="20"/>
          <w:szCs w:val="20"/>
          <w:rtl/>
        </w:rPr>
        <w:t>{</w:t>
      </w:r>
      <w:r w:rsidRPr="0025355B">
        <w:rPr>
          <w:rFonts w:ascii="QCF_P137" w:hAnsi="QCF_P137" w:cs="QCF_P137"/>
          <w:color w:val="008000"/>
          <w:sz w:val="20"/>
          <w:szCs w:val="20"/>
          <w:rtl/>
        </w:rPr>
        <w:t>ﭒ ﭓ ﭔ ﭕ ﭖ ﭗ ﭘ ﭙ</w:t>
      </w:r>
      <w:r w:rsidRPr="0025355B">
        <w:rPr>
          <w:rFonts w:ascii="QCF_P137" w:hAnsi="QCF_P137" w:cs="DecoType Thuluth"/>
          <w:color w:val="008000"/>
          <w:sz w:val="20"/>
          <w:szCs w:val="20"/>
          <w:rtl/>
        </w:rPr>
        <w:t>}</w:t>
      </w:r>
      <w:r w:rsidRPr="0025355B">
        <w:rPr>
          <w:rFonts w:ascii="Tahoma" w:hAnsi="Tahoma" w:cs="AL-Hotham" w:hint="cs"/>
          <w:color w:val="008000"/>
          <w:sz w:val="20"/>
          <w:szCs w:val="20"/>
          <w:rtl/>
        </w:rPr>
        <w:t>،</w:t>
      </w:r>
      <w:r w:rsidRPr="0025355B">
        <w:rPr>
          <w:rFonts w:ascii="Tahoma" w:hAnsi="Tahoma" w:cs="AL-Hotham" w:hint="cs"/>
          <w:sz w:val="20"/>
          <w:szCs w:val="20"/>
          <w:rtl/>
        </w:rPr>
        <w:t xml:space="preserve"> </w:t>
      </w:r>
      <w:r w:rsidRPr="0025355B">
        <w:rPr>
          <w:rFonts w:asciiTheme="majorBidi" w:hAnsiTheme="majorBidi" w:cstheme="majorBidi"/>
          <w:b/>
          <w:bCs/>
          <w:sz w:val="20"/>
          <w:szCs w:val="20"/>
          <w:rtl/>
        </w:rPr>
        <w:t xml:space="preserve">قال: لم يكن بأبيه ولكن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اسم صنم، فموضعه نصب على إضمار الفعل، والتلاوة كأنه قال: وإذ قال إبراهيم: أتتخذ آزر إلهًا؛ أي: أتتخذ أصنامًا آلهة، وقال الصنعاني: أتتخذ آزر إلهًا، ولم ينصب باتخاذ الذي بعده؛ لأن الاستفهام لا يعمل فيما قبله، ولأنه استوفى مفعوله.</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وقد نقل المرحوم أحمد زكي عبارة (تاج العروس) في أول كتابه وقال: وهذا القول الذي قاله مجاهد أو</w:t>
      </w:r>
      <w:r w:rsidRPr="0025355B">
        <w:rPr>
          <w:rFonts w:asciiTheme="majorBidi" w:hAnsiTheme="majorBidi" w:cstheme="majorBidi"/>
          <w:b/>
          <w:bCs/>
          <w:sz w:val="20"/>
          <w:szCs w:val="20"/>
          <w:rtl/>
          <w:lang w:bidi="ar-EG"/>
        </w:rPr>
        <w:t>ل</w:t>
      </w:r>
      <w:r w:rsidRPr="0025355B">
        <w:rPr>
          <w:rFonts w:asciiTheme="majorBidi" w:hAnsiTheme="majorBidi" w:cstheme="majorBidi"/>
          <w:b/>
          <w:bCs/>
          <w:sz w:val="20"/>
          <w:szCs w:val="20"/>
          <w:rtl/>
        </w:rPr>
        <w:t>ى الأقوال عندي بالقبول</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وعلى هذا يكون والد إبراهيم لم يذكر باسمه العلمي في القرآن</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ومما يستأنس له بأن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اسم إلهٍ أننا نجد في الآلهة القديمة عند المصريين الإله "إزوريس" و"إيزيس" ومعناه الإله القوي المعين، وقد كانت الأمم السابقة يقلد بعضهم بعضًا في أسماء الآلهة.</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على كل حال هذا كلام اختلف فيه المفسرون على أنه لا مانع أن يكون هذا الاسم وهو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آزر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اسم أبي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والكلمات تطلق في إطلاقات كثيرة وروايات ومعان</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كثيرة.</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pacing w:val="-4"/>
          <w:sz w:val="20"/>
          <w:szCs w:val="20"/>
          <w:rtl/>
        </w:rPr>
        <w:t xml:space="preserve">ننتقل بعد ذلك إلى الموضع الثاني الذي ثار حوله كلام وإسرائيليات كثيرة الآيات في سورة </w:t>
      </w:r>
      <w:r w:rsidRPr="0025355B">
        <w:rPr>
          <w:rFonts w:asciiTheme="majorBidi" w:hAnsiTheme="majorBidi" w:cstheme="majorBidi"/>
          <w:b/>
          <w:bCs/>
          <w:spacing w:val="-4"/>
          <w:sz w:val="20"/>
          <w:szCs w:val="20"/>
          <w:rtl/>
          <w:lang w:bidi="ar-EG"/>
        </w:rPr>
        <w:t>"</w:t>
      </w:r>
      <w:r w:rsidRPr="0025355B">
        <w:rPr>
          <w:rFonts w:asciiTheme="majorBidi" w:hAnsiTheme="majorBidi" w:cstheme="majorBidi"/>
          <w:b/>
          <w:bCs/>
          <w:spacing w:val="-4"/>
          <w:sz w:val="20"/>
          <w:szCs w:val="20"/>
          <w:rtl/>
        </w:rPr>
        <w:t>الأنبياء</w:t>
      </w:r>
      <w:r w:rsidRPr="0025355B">
        <w:rPr>
          <w:rFonts w:asciiTheme="majorBidi" w:hAnsiTheme="majorBidi" w:cstheme="majorBidi"/>
          <w:b/>
          <w:bCs/>
          <w:spacing w:val="-4"/>
          <w:sz w:val="20"/>
          <w:szCs w:val="20"/>
          <w:rtl/>
          <w:lang w:bidi="ar-EG"/>
        </w:rPr>
        <w:t>"</w:t>
      </w:r>
      <w:r w:rsidRPr="0025355B">
        <w:rPr>
          <w:rFonts w:asciiTheme="majorBidi" w:hAnsiTheme="majorBidi" w:cstheme="majorBidi"/>
          <w:b/>
          <w:bCs/>
          <w:spacing w:val="-4"/>
          <w:sz w:val="20"/>
          <w:szCs w:val="20"/>
          <w:rtl/>
        </w:rPr>
        <w:t xml:space="preserve">: </w:t>
      </w:r>
      <w:r w:rsidRPr="0025355B">
        <w:rPr>
          <w:rFonts w:ascii="Tahoma" w:hAnsi="Tahoma" w:cs="DecoType Thuluth" w:hint="cs"/>
          <w:color w:val="008000"/>
          <w:spacing w:val="-4"/>
          <w:sz w:val="20"/>
          <w:szCs w:val="20"/>
          <w:rtl/>
        </w:rPr>
        <w:t>{</w:t>
      </w:r>
      <w:r w:rsidRPr="0025355B">
        <w:rPr>
          <w:rFonts w:ascii="QCF_P326" w:hAnsi="QCF_P326" w:cs="QCF_P326"/>
          <w:color w:val="008000"/>
          <w:spacing w:val="-4"/>
          <w:sz w:val="20"/>
          <w:szCs w:val="20"/>
          <w:rtl/>
        </w:rPr>
        <w:t>ﮝ ﮞ ﮟ ﮠ ﮡ ﮢ ﮣ ﮤ ﮥ</w:t>
      </w:r>
      <w:r w:rsidRPr="0025355B">
        <w:rPr>
          <w:rFonts w:ascii="QCF_P326" w:hAnsi="QCF_P326" w:cs="DecoType Thuluth"/>
          <w:color w:val="008000"/>
          <w:spacing w:val="-4"/>
          <w:sz w:val="20"/>
          <w:szCs w:val="20"/>
          <w:rtl/>
        </w:rPr>
        <w:t>}</w:t>
      </w:r>
      <w:r w:rsidRPr="0025355B">
        <w:rPr>
          <w:rFonts w:ascii="Tahoma" w:hAnsi="Tahoma" w:cs="AL-Hotham" w:hint="cs"/>
          <w:color w:val="008000"/>
          <w:spacing w:val="-4"/>
          <w:sz w:val="20"/>
          <w:szCs w:val="20"/>
          <w:rtl/>
        </w:rPr>
        <w:t xml:space="preserve"> </w:t>
      </w:r>
      <w:r w:rsidRPr="0025355B">
        <w:rPr>
          <w:rFonts w:asciiTheme="majorBidi" w:hAnsiTheme="majorBidi" w:cstheme="majorBidi"/>
          <w:b/>
          <w:bCs/>
          <w:spacing w:val="-4"/>
          <w:sz w:val="20"/>
          <w:szCs w:val="20"/>
          <w:rtl/>
        </w:rPr>
        <w:t>[الأنبياء: 51]</w:t>
      </w:r>
      <w:r w:rsidRPr="0025355B">
        <w:rPr>
          <w:rFonts w:asciiTheme="majorBidi" w:hAnsiTheme="majorBidi" w:cstheme="majorBidi"/>
          <w:b/>
          <w:bCs/>
          <w:sz w:val="20"/>
          <w:szCs w:val="20"/>
          <w:rtl/>
        </w:rPr>
        <w:t xml:space="preserve"> إلى أن وصلنا إلى قوله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جل وعلا</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w:t>
      </w:r>
      <w:r w:rsidRPr="0025355B">
        <w:rPr>
          <w:rFonts w:ascii="Tahoma" w:hAnsi="Tahoma" w:cs="DecoType Thuluth" w:hint="cs"/>
          <w:color w:val="008000"/>
          <w:sz w:val="20"/>
          <w:szCs w:val="20"/>
          <w:rtl/>
        </w:rPr>
        <w:t>{</w:t>
      </w:r>
      <w:r w:rsidRPr="0025355B">
        <w:rPr>
          <w:rFonts w:ascii="QCF_P327" w:hAnsi="QCF_P327" w:cs="QCF_P327"/>
          <w:color w:val="008000"/>
          <w:sz w:val="20"/>
          <w:szCs w:val="20"/>
          <w:rtl/>
        </w:rPr>
        <w:t xml:space="preserve">ﮮ </w:t>
      </w:r>
      <w:r w:rsidRPr="0025355B">
        <w:rPr>
          <w:rFonts w:ascii="QCF_P327" w:hAnsi="QCF_P327" w:cs="QCF_P327"/>
          <w:color w:val="008000"/>
          <w:sz w:val="20"/>
          <w:szCs w:val="20"/>
          <w:rtl/>
        </w:rPr>
        <w:lastRenderedPageBreak/>
        <w:t>ﮯ ﮰ ﮱ ﯓ ﯔ ﯕ ﯖ</w:t>
      </w:r>
      <w:r w:rsidRPr="0025355B">
        <w:rPr>
          <w:rFonts w:ascii="QCF_P327" w:hAnsi="QCF_P327" w:cs="QCF_P327" w:hint="cs"/>
          <w:color w:val="008000"/>
          <w:sz w:val="20"/>
          <w:szCs w:val="20"/>
          <w:rtl/>
        </w:rPr>
        <w:t xml:space="preserve"> </w:t>
      </w:r>
      <w:r w:rsidRPr="0025355B">
        <w:rPr>
          <w:rFonts w:ascii="QCF_P327" w:hAnsi="QCF_P327" w:cs="QCF_P327"/>
          <w:color w:val="008000"/>
          <w:sz w:val="20"/>
          <w:szCs w:val="20"/>
          <w:rtl/>
        </w:rPr>
        <w:t>ﯗ ﯘ ﯙ ﯚ ﯛ ﯜ ﯝ</w:t>
      </w:r>
      <w:r w:rsidRPr="0025355B">
        <w:rPr>
          <w:rFonts w:ascii="QCF_P327" w:hAnsi="QCF_P327" w:cs="DecoType Thuluth"/>
          <w:color w:val="008000"/>
          <w:sz w:val="20"/>
          <w:szCs w:val="20"/>
          <w:rtl/>
        </w:rPr>
        <w:t>}</w:t>
      </w:r>
      <w:r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[الأنبياء: 69]</w:t>
      </w:r>
      <w:r w:rsidRPr="0025355B">
        <w:rPr>
          <w:rFonts w:asciiTheme="majorBidi" w:hAnsiTheme="majorBidi" w:cstheme="majorBidi"/>
          <w:b/>
          <w:bCs/>
          <w:sz w:val="20"/>
          <w:szCs w:val="20"/>
          <w:rtl/>
          <w:lang w:bidi="ar-EG"/>
        </w:rPr>
        <w:t>.</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فعند تفسير الآية الأولى</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وهي قول الله </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جل وعلا</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w:t>
      </w:r>
      <w:r w:rsidRPr="0025355B">
        <w:rPr>
          <w:rFonts w:ascii="Tahoma" w:hAnsi="Tahoma" w:cs="DecoType Thuluth" w:hint="cs"/>
          <w:color w:val="008000"/>
          <w:sz w:val="20"/>
          <w:szCs w:val="20"/>
          <w:rtl/>
        </w:rPr>
        <w:t>{</w:t>
      </w:r>
      <w:r w:rsidRPr="0025355B">
        <w:rPr>
          <w:rFonts w:ascii="QCF_P327" w:hAnsi="QCF_P327" w:cs="QCF_P327"/>
          <w:color w:val="008000"/>
          <w:sz w:val="20"/>
          <w:szCs w:val="20"/>
          <w:rtl/>
        </w:rPr>
        <w:t>ﮮ ﮯ ﮰ ﮱ ﯓ ﯔ ﯕ</w:t>
      </w:r>
      <w:r w:rsidRPr="0025355B">
        <w:rPr>
          <w:rFonts w:ascii="QCF_P327" w:hAnsi="QCF_P327" w:cs="DecoType Thuluth"/>
          <w:color w:val="008000"/>
          <w:sz w:val="20"/>
          <w:szCs w:val="20"/>
          <w:rtl/>
        </w:rPr>
        <w:t>}</w:t>
      </w:r>
      <w:r w:rsidRPr="0025355B">
        <w:rPr>
          <w:rFonts w:ascii="Tahoma" w:hAnsi="Tahoma" w:cs="AL-Hotham" w:hint="cs"/>
          <w:sz w:val="20"/>
          <w:szCs w:val="20"/>
          <w:rtl/>
        </w:rPr>
        <w:t xml:space="preserve"> </w:t>
      </w:r>
      <w:r w:rsidRPr="0025355B">
        <w:rPr>
          <w:rFonts w:asciiTheme="majorBidi" w:hAnsiTheme="majorBidi" w:cstheme="majorBidi"/>
          <w:b/>
          <w:bCs/>
          <w:sz w:val="20"/>
          <w:szCs w:val="20"/>
          <w:rtl/>
        </w:rPr>
        <w:t>ذكر المفسرون، ومنهم أبو السعود فقال: قيل: القائل هو نمرود بن كنعان بن السنجاريد بن نمرود بن كوش بن حام بن نوح، وقيل: رجل من أكراد فارس، اسمه هايون، وقيل</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هدير، خسفت بهم الأرض.</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روي أنهم لما أجمعوا على إحراق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بنوا له حظيرة "بكوشي" قرية من قرى الأنباط عملوا له حقلًا كبيرًا أو حظيرة كبيرة مكانًا واسعًا في هذه القرية</w:t>
      </w:r>
      <w:r w:rsidRPr="0025355B">
        <w:rPr>
          <w:rFonts w:asciiTheme="majorBidi" w:hAnsiTheme="majorBidi" w:cstheme="majorBidi"/>
          <w:b/>
          <w:bCs/>
          <w:sz w:val="20"/>
          <w:szCs w:val="20"/>
          <w:rtl/>
          <w:lang w:bidi="ar-EG"/>
        </w:rPr>
        <w:t xml:space="preserve">؛ </w:t>
      </w:r>
      <w:r w:rsidRPr="0025355B">
        <w:rPr>
          <w:rFonts w:asciiTheme="majorBidi" w:hAnsiTheme="majorBidi" w:cstheme="majorBidi"/>
          <w:b/>
          <w:bCs/>
          <w:sz w:val="20"/>
          <w:szCs w:val="20"/>
          <w:rtl/>
        </w:rPr>
        <w:t>وذلك قوله تعالى:</w:t>
      </w:r>
      <w:r w:rsidRPr="0025355B">
        <w:rPr>
          <w:rFonts w:ascii="Tahoma" w:hAnsi="Tahoma" w:cs="DecoType Thuluth" w:hint="cs"/>
          <w:color w:val="008000"/>
          <w:sz w:val="20"/>
          <w:szCs w:val="20"/>
          <w:rtl/>
        </w:rPr>
        <w:t xml:space="preserve"> {</w:t>
      </w:r>
      <w:r w:rsidRPr="0025355B">
        <w:rPr>
          <w:rFonts w:ascii="QCF_P449" w:hAnsi="QCF_P449" w:cs="QCF_P449"/>
          <w:color w:val="008000"/>
          <w:sz w:val="20"/>
          <w:szCs w:val="20"/>
          <w:rtl/>
        </w:rPr>
        <w:t>ﯚ ﯛ ﯜ ﯝ ﯞ ﯟ ﯠ</w:t>
      </w:r>
      <w:r w:rsidRPr="0025355B">
        <w:rPr>
          <w:rFonts w:ascii="QCF_P449" w:hAnsi="QCF_P449" w:cs="DecoType Thuluth"/>
          <w:color w:val="008000"/>
          <w:sz w:val="20"/>
          <w:szCs w:val="20"/>
          <w:rtl/>
        </w:rPr>
        <w:t>}</w:t>
      </w:r>
      <w:r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[الصافات: 97]</w:t>
      </w:r>
      <w:r w:rsidRPr="0025355B">
        <w:rPr>
          <w:rFonts w:asciiTheme="majorBidi" w:hAnsiTheme="majorBidi" w:cstheme="majorBidi"/>
          <w:b/>
          <w:bCs/>
          <w:sz w:val="20"/>
          <w:szCs w:val="20"/>
          <w:rtl/>
          <w:lang w:bidi="ar-EG"/>
        </w:rPr>
        <w:t>.</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فجمعوا له أصلاب الحطب من أصناف الخشب مدة أربعين يومًا فأوقدوا نارًا عظيمة لا يكاد يحوم حولها أحد، حتى إن كانت الطير لتمر بها وهي في أقصى الجو فتحترق من شدة وهجها، ولم يكد أحد يحوم حولها فلم يعلموا كيف يلقون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فيها، فأتى إبليس وعلمهم عمل المنجنيق، فعملوه -المنجنيق هو عبارة </w:t>
      </w:r>
      <w:r w:rsidRPr="0025355B">
        <w:rPr>
          <w:rFonts w:asciiTheme="majorBidi" w:hAnsiTheme="majorBidi" w:cstheme="majorBidi"/>
          <w:b/>
          <w:bCs/>
          <w:spacing w:val="-2"/>
          <w:sz w:val="20"/>
          <w:szCs w:val="20"/>
          <w:rtl/>
        </w:rPr>
        <w:t xml:space="preserve">عن حبل يوضع فيه لفافة يوضع فيها الضحية أو الغرض ويقذف به من بعيد- فعملوا له هذا، وقيل: صنعه لهم رجل من الأكراد، فخسف الله به الأرض، فهو يتجلجل فيها إلى يوم القيامة، ثم عمدوا إلى إبراهيم </w:t>
      </w:r>
      <w:r w:rsidRPr="0025355B">
        <w:rPr>
          <w:rFonts w:asciiTheme="majorBidi" w:hAnsiTheme="majorBidi" w:cstheme="majorBidi"/>
          <w:b/>
          <w:bCs/>
          <w:spacing w:val="-2"/>
          <w:position w:val="-4"/>
          <w:sz w:val="20"/>
          <w:szCs w:val="20"/>
          <w:rtl/>
        </w:rPr>
        <w:t>#</w:t>
      </w:r>
      <w:r w:rsidRPr="0025355B">
        <w:rPr>
          <w:rFonts w:asciiTheme="majorBidi" w:hAnsiTheme="majorBidi" w:cstheme="majorBidi"/>
          <w:b/>
          <w:bCs/>
          <w:sz w:val="20"/>
          <w:szCs w:val="20"/>
          <w:rtl/>
        </w:rPr>
        <w:t xml:space="preserve"> فوضعوه فيه مغلولًا مقيدًا فرموا به فيها، فجاءه جبريل، فقال له: هل لك حاجة؟ قال: أما إليك فلا، قال: فاسأل ربك، قال: حسبي من سؤالي علمه بحالي، فجعل الله ببركة قوله الحظيرة الموقع المحترق هذا النار شديدة اللهب، جعلها الله روضة رائعة له.</w:t>
      </w:r>
    </w:p>
    <w:p w:rsidR="00362B86" w:rsidRPr="0025355B" w:rsidRDefault="00362B86" w:rsidP="00362B86">
      <w:pPr>
        <w:pStyle w:val="a3"/>
        <w:bidi/>
        <w:spacing w:before="0" w:beforeAutospacing="0" w:after="120" w:afterAutospacing="0"/>
        <w:jc w:val="lowKashida"/>
        <w:rPr>
          <w:rFonts w:asciiTheme="majorBidi" w:hAnsiTheme="majorBidi" w:cstheme="majorBidi"/>
          <w:b/>
          <w:bCs/>
          <w:sz w:val="20"/>
          <w:szCs w:val="20"/>
          <w:rtl/>
        </w:rPr>
      </w:pPr>
      <w:r w:rsidRPr="0025355B">
        <w:rPr>
          <w:rFonts w:asciiTheme="majorBidi" w:hAnsiTheme="majorBidi" w:cstheme="majorBidi"/>
          <w:b/>
          <w:bCs/>
          <w:sz w:val="20"/>
          <w:szCs w:val="20"/>
          <w:rtl/>
        </w:rPr>
        <w:t xml:space="preserve">وعند تفسيره للآية الثانية، وهي قول الله تعالى في هذا الشأن: </w:t>
      </w:r>
      <w:r w:rsidRPr="0025355B">
        <w:rPr>
          <w:rFonts w:ascii="Tahoma" w:hAnsi="Tahoma" w:cs="DecoType Thuluth" w:hint="cs"/>
          <w:color w:val="008000"/>
          <w:sz w:val="20"/>
          <w:szCs w:val="20"/>
          <w:rtl/>
        </w:rPr>
        <w:t>{</w:t>
      </w:r>
      <w:r w:rsidRPr="0025355B">
        <w:rPr>
          <w:rFonts w:ascii="QCF_P327" w:hAnsi="QCF_P327" w:cs="QCF_P327"/>
          <w:color w:val="008000"/>
          <w:sz w:val="20"/>
          <w:szCs w:val="20"/>
          <w:rtl/>
        </w:rPr>
        <w:t>ﯗ ﯘ ﯙ ﯚ ﯛ ﯜ ﯝ</w:t>
      </w:r>
      <w:r w:rsidRPr="0025355B">
        <w:rPr>
          <w:rFonts w:ascii="QCF_P327" w:hAnsi="QCF_P327" w:cs="DecoType Thuluth"/>
          <w:color w:val="008000"/>
          <w:sz w:val="20"/>
          <w:szCs w:val="20"/>
          <w:rtl/>
        </w:rPr>
        <w:t>}</w:t>
      </w:r>
      <w:r w:rsidRPr="0025355B">
        <w:rPr>
          <w:rFonts w:ascii="Tahoma" w:hAnsi="Tahoma" w:cs="AL-Hotham" w:hint="cs"/>
          <w:color w:val="008000"/>
          <w:sz w:val="20"/>
          <w:szCs w:val="20"/>
          <w:rtl/>
        </w:rPr>
        <w:t xml:space="preserve">، </w:t>
      </w:r>
      <w:r w:rsidRPr="0025355B">
        <w:rPr>
          <w:rFonts w:asciiTheme="majorBidi" w:hAnsiTheme="majorBidi" w:cstheme="majorBidi"/>
          <w:b/>
          <w:bCs/>
          <w:sz w:val="20"/>
          <w:szCs w:val="20"/>
          <w:rtl/>
        </w:rPr>
        <w:t xml:space="preserve">قال المفسرون: روي أنّ الملائكة أخذوا بقميص إبراهيم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وأقعدوه على الأرض، فإذا عين ماء عذب، وورود حمر</w:t>
      </w:r>
      <w:r w:rsidRPr="0025355B">
        <w:rPr>
          <w:rFonts w:asciiTheme="majorBidi" w:hAnsiTheme="majorBidi" w:cstheme="majorBidi"/>
          <w:b/>
          <w:bCs/>
          <w:sz w:val="20"/>
          <w:szCs w:val="20"/>
          <w:rtl/>
          <w:lang w:bidi="ar-EG"/>
        </w:rPr>
        <w:t>؛</w:t>
      </w:r>
      <w:r w:rsidRPr="0025355B">
        <w:rPr>
          <w:rFonts w:asciiTheme="majorBidi" w:hAnsiTheme="majorBidi" w:cstheme="majorBidi"/>
          <w:b/>
          <w:bCs/>
          <w:sz w:val="20"/>
          <w:szCs w:val="20"/>
          <w:rtl/>
        </w:rPr>
        <w:t xml:space="preserve"> ورد ونرجس، ولم تحرق النار إلا وثاقه -الحبل الذي كان يربط فيه.</w:t>
      </w:r>
    </w:p>
    <w:p w:rsidR="00362B86" w:rsidRPr="0025355B" w:rsidRDefault="00362B86" w:rsidP="00362B86">
      <w:pPr>
        <w:spacing w:line="240" w:lineRule="auto"/>
        <w:rPr>
          <w:rFonts w:asciiTheme="majorBidi" w:hAnsiTheme="majorBidi" w:cstheme="majorBidi"/>
          <w:b/>
          <w:bCs/>
          <w:i/>
          <w:iCs/>
          <w:sz w:val="20"/>
          <w:szCs w:val="20"/>
          <w:rtl/>
        </w:rPr>
      </w:pPr>
      <w:r w:rsidRPr="0025355B">
        <w:rPr>
          <w:rFonts w:asciiTheme="majorBidi" w:hAnsiTheme="majorBidi" w:cstheme="majorBidi"/>
          <w:b/>
          <w:bCs/>
          <w:sz w:val="20"/>
          <w:szCs w:val="20"/>
          <w:rtl/>
        </w:rPr>
        <w:lastRenderedPageBreak/>
        <w:t xml:space="preserve">وروي أنه </w:t>
      </w:r>
      <w:r w:rsidRPr="0025355B">
        <w:rPr>
          <w:rFonts w:asciiTheme="majorBidi" w:hAnsiTheme="majorBidi" w:cstheme="majorBidi"/>
          <w:b/>
          <w:bCs/>
          <w:position w:val="-4"/>
          <w:sz w:val="20"/>
          <w:szCs w:val="20"/>
          <w:rtl/>
        </w:rPr>
        <w:t>#</w:t>
      </w:r>
      <w:r w:rsidRPr="0025355B">
        <w:rPr>
          <w:rFonts w:asciiTheme="majorBidi" w:hAnsiTheme="majorBidi" w:cstheme="majorBidi"/>
          <w:b/>
          <w:bCs/>
          <w:sz w:val="20"/>
          <w:szCs w:val="20"/>
          <w:rtl/>
        </w:rPr>
        <w:t xml:space="preserve"> مكث في النار أربعين يومًا أو خمسين يومًا، وقال: ما كنت أطيب عيشًا مني إذ كنت فيها.</w:t>
      </w:r>
    </w:p>
    <w:p w:rsidR="00362B86" w:rsidRPr="0025355B" w:rsidRDefault="00362B86" w:rsidP="00362B86">
      <w:pPr>
        <w:spacing w:after="120" w:line="240" w:lineRule="auto"/>
        <w:jc w:val="center"/>
        <w:rPr>
          <w:rFonts w:asciiTheme="majorBidi" w:hAnsiTheme="majorBidi" w:cstheme="majorBidi"/>
          <w:b/>
          <w:bCs/>
          <w:sz w:val="20"/>
          <w:szCs w:val="20"/>
          <w:rtl/>
        </w:rPr>
      </w:pPr>
      <w:r w:rsidRPr="0025355B">
        <w:rPr>
          <w:rFonts w:asciiTheme="majorBidi" w:hAnsiTheme="majorBidi" w:cstheme="majorBidi"/>
          <w:b/>
          <w:bCs/>
          <w:sz w:val="20"/>
          <w:szCs w:val="20"/>
          <w:rtl/>
        </w:rPr>
        <w:t>المصادر والمراجع</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tl/>
        </w:rPr>
      </w:pPr>
      <w:r w:rsidRPr="0025355B">
        <w:rPr>
          <w:rFonts w:asciiTheme="majorBidi" w:hAnsiTheme="majorBidi" w:cstheme="majorBidi"/>
          <w:b/>
          <w:bCs/>
          <w:sz w:val="20"/>
          <w:szCs w:val="20"/>
          <w:rtl/>
        </w:rPr>
        <w:t>المحمدي عبد الرحمن، (الدخيل في التفسير) ، القاهرة،  جامعة الأزهر، مطبعة حسان، 2009م.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tl/>
        </w:rPr>
      </w:pPr>
      <w:r w:rsidRPr="0025355B">
        <w:rPr>
          <w:rFonts w:asciiTheme="majorBidi" w:hAnsiTheme="majorBidi" w:cstheme="majorBidi"/>
          <w:b/>
          <w:bCs/>
          <w:sz w:val="20"/>
          <w:szCs w:val="20"/>
          <w:rtl/>
        </w:rPr>
        <w:t>الذهبي، محمد حسين الذهبي،  (التفسير والمفسرون) ، طبعة دار الأرقم، 1999م.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الذهبي، محمد حسين الذهبي،  (الإسرائيليات في التفسير والحديث) ، طبعة مكتبة وهبة، 1990م.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 xml:space="preserve">شليوه، سمير شليوه،  (الدخيل والإسرائيليات) ، القاهرة، جامعة الأزهر </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الشهرستاني، محمد بن عبد الكريم الشهرستاني،  (الملل والنحل) ، طبعة دار الفكر، 2001م.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محمد الخضر حسين، (البابية أو البهائية) ،مجمع البحوث الإسلامية</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tl/>
        </w:rPr>
      </w:pPr>
      <w:r w:rsidRPr="0025355B">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362B86" w:rsidRPr="0025355B" w:rsidRDefault="00362B86" w:rsidP="00362B86">
      <w:pPr>
        <w:numPr>
          <w:ilvl w:val="0"/>
          <w:numId w:val="2"/>
        </w:numPr>
        <w:spacing w:after="120" w:line="240" w:lineRule="auto"/>
        <w:jc w:val="both"/>
        <w:rPr>
          <w:rFonts w:asciiTheme="majorBidi" w:hAnsiTheme="majorBidi" w:cstheme="majorBidi"/>
          <w:b/>
          <w:bCs/>
          <w:sz w:val="20"/>
          <w:szCs w:val="20"/>
        </w:rPr>
      </w:pPr>
      <w:r w:rsidRPr="0025355B">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362B86" w:rsidRPr="0025355B" w:rsidRDefault="00362B86" w:rsidP="00362B86">
      <w:pPr>
        <w:rPr>
          <w:i/>
          <w:iCs/>
          <w:sz w:val="20"/>
          <w:szCs w:val="20"/>
          <w:rtl/>
        </w:rPr>
        <w:sectPr w:rsidR="00362B86" w:rsidRPr="0025355B" w:rsidSect="00362B86">
          <w:type w:val="continuous"/>
          <w:pgSz w:w="11906" w:h="16838"/>
          <w:pgMar w:top="964" w:right="1021" w:bottom="964" w:left="1021" w:header="709" w:footer="709" w:gutter="0"/>
          <w:cols w:num="2" w:space="708"/>
          <w:bidi/>
          <w:rtlGutter/>
          <w:docGrid w:linePitch="360"/>
        </w:sectPr>
      </w:pPr>
    </w:p>
    <w:p w:rsidR="00362B86" w:rsidRPr="0025355B" w:rsidRDefault="00362B86" w:rsidP="00362B86">
      <w:pPr>
        <w:rPr>
          <w:i/>
          <w:iCs/>
          <w:sz w:val="20"/>
          <w:szCs w:val="20"/>
        </w:rPr>
      </w:pPr>
    </w:p>
    <w:sectPr w:rsidR="00362B86" w:rsidRPr="0025355B" w:rsidSect="00362B8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81">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08">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162139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62B86"/>
    <w:rsid w:val="000B452B"/>
    <w:rsid w:val="0025355B"/>
    <w:rsid w:val="00362B86"/>
    <w:rsid w:val="00514443"/>
    <w:rsid w:val="00832038"/>
    <w:rsid w:val="009556CB"/>
    <w:rsid w:val="00BF7572"/>
    <w:rsid w:val="00D85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62B8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62B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2B8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2013-06-19T21:39:00Z</dcterms:created>
  <dcterms:modified xsi:type="dcterms:W3CDTF">2013-06-26T08:14:00Z</dcterms:modified>
</cp:coreProperties>
</file>