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FF" w:rsidRDefault="008305FF" w:rsidP="008305FF">
      <w:pPr>
        <w:bidi/>
        <w:spacing w:before="60"/>
        <w:jc w:val="center"/>
        <w:rPr>
          <w:rFonts w:asciiTheme="majorBidi" w:eastAsia="Calibri" w:hAnsiTheme="majorBidi" w:cstheme="majorBidi"/>
          <w:b/>
          <w:bCs/>
          <w:sz w:val="44"/>
          <w:szCs w:val="44"/>
          <w:rtl/>
        </w:rPr>
      </w:pPr>
      <w:r w:rsidRPr="008305FF">
        <w:rPr>
          <w:rFonts w:asciiTheme="majorBidi" w:eastAsia="Calibri" w:hAnsiTheme="majorBidi" w:cstheme="majorBidi" w:hint="cs"/>
          <w:b/>
          <w:bCs/>
          <w:sz w:val="44"/>
          <w:szCs w:val="44"/>
          <w:rtl/>
        </w:rPr>
        <w:t>الجذور الفكرية والعقائدية للبريلوية، ومواقع نفوذ</w:t>
      </w:r>
    </w:p>
    <w:p w:rsidR="008305FF" w:rsidRPr="00FE0D55" w:rsidRDefault="008305FF" w:rsidP="008305FF">
      <w:pPr>
        <w:jc w:val="center"/>
        <w:rPr>
          <w:rFonts w:asciiTheme="majorBidi" w:eastAsia="Calibri" w:hAnsiTheme="majorBidi" w:cstheme="majorBidi"/>
          <w:b/>
          <w:bCs/>
          <w:i/>
          <w:iCs/>
          <w:color w:val="4F81BD"/>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8305FF" w:rsidRPr="006465AE" w:rsidRDefault="008305FF" w:rsidP="006465AE">
      <w:pPr>
        <w:pStyle w:val="Author"/>
        <w:tabs>
          <w:tab w:val="left" w:pos="4366"/>
          <w:tab w:val="center" w:pos="5244"/>
        </w:tabs>
        <w:bidi/>
        <w:spacing w:before="0" w:after="0"/>
        <w:jc w:val="left"/>
        <w:rPr>
          <w:rFonts w:asciiTheme="majorBidi" w:hAnsiTheme="majorBidi" w:cstheme="majorBidi"/>
          <w:b/>
          <w:bCs/>
          <w:i/>
          <w:iCs/>
          <w:sz w:val="18"/>
          <w:szCs w:val="18"/>
          <w:lang w:eastAsia="zh-CN"/>
        </w:rPr>
      </w:pPr>
      <w:r>
        <w:rPr>
          <w:rFonts w:asciiTheme="majorBidi" w:hAnsiTheme="majorBidi" w:cstheme="majorBidi"/>
          <w:b/>
          <w:bCs/>
          <w:i/>
          <w:iCs/>
          <w:sz w:val="18"/>
          <w:szCs w:val="18"/>
          <w:rtl/>
        </w:rPr>
        <w:tab/>
      </w:r>
      <w:r>
        <w:rPr>
          <w:rFonts w:asciiTheme="majorBidi" w:hAnsiTheme="majorBidi" w:cstheme="majorBidi"/>
          <w:b/>
          <w:bCs/>
          <w:i/>
          <w:iCs/>
          <w:sz w:val="18"/>
          <w:szCs w:val="18"/>
          <w:rtl/>
          <w:lang w:eastAsia="zh-CN"/>
        </w:rPr>
        <w:tab/>
      </w:r>
      <w:r w:rsidRPr="00FE0D55">
        <w:rPr>
          <w:rFonts w:asciiTheme="majorBidi" w:hAnsiTheme="majorBidi" w:cstheme="majorBidi"/>
          <w:b/>
          <w:bCs/>
          <w:i/>
          <w:iCs/>
          <w:sz w:val="18"/>
          <w:szCs w:val="18"/>
          <w:rtl/>
          <w:lang w:eastAsia="zh-CN"/>
        </w:rPr>
        <w:t xml:space="preserve">إعداد / </w:t>
      </w:r>
      <w:r w:rsidR="006465AE" w:rsidRPr="006465AE">
        <w:rPr>
          <w:rFonts w:asciiTheme="majorBidi" w:hAnsiTheme="majorBidi" w:cstheme="majorBidi"/>
          <w:b/>
          <w:bCs/>
          <w:i/>
          <w:iCs/>
          <w:sz w:val="18"/>
          <w:szCs w:val="18"/>
          <w:rtl/>
          <w:lang w:eastAsia="zh-CN"/>
        </w:rPr>
        <w:t>عادل محمد فتحي</w:t>
      </w:r>
      <w:r w:rsidR="006465AE" w:rsidRPr="006465AE">
        <w:rPr>
          <w:rFonts w:asciiTheme="majorBidi" w:hAnsiTheme="majorBidi" w:cstheme="majorBidi" w:hint="cs"/>
          <w:b/>
          <w:bCs/>
          <w:i/>
          <w:iCs/>
          <w:sz w:val="18"/>
          <w:szCs w:val="18"/>
          <w:rtl/>
          <w:lang w:eastAsia="zh-CN"/>
        </w:rPr>
        <w:t xml:space="preserve">  </w:t>
      </w:r>
    </w:p>
    <w:p w:rsidR="008305FF" w:rsidRPr="006465AE" w:rsidRDefault="008305FF" w:rsidP="008305FF">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8305FF" w:rsidRPr="00FE0D55" w:rsidRDefault="008305FF" w:rsidP="008305FF">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8305FF" w:rsidRPr="00FE0D55" w:rsidRDefault="008305FF" w:rsidP="008305FF">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8305FF" w:rsidRPr="006465AE" w:rsidRDefault="006465AE" w:rsidP="008305FF">
      <w:pPr>
        <w:tabs>
          <w:tab w:val="left" w:pos="4050"/>
        </w:tabs>
        <w:jc w:val="center"/>
        <w:rPr>
          <w:rFonts w:asciiTheme="majorBidi" w:eastAsia="SimSun" w:hAnsiTheme="majorBidi" w:cstheme="majorBidi" w:hint="cs"/>
          <w:b/>
          <w:bCs/>
          <w:i/>
          <w:iCs/>
          <w:sz w:val="18"/>
          <w:szCs w:val="18"/>
          <w:rtl/>
          <w:lang w:eastAsia="zh-CN"/>
        </w:rPr>
      </w:pPr>
      <w:hyperlink r:id="rId8" w:history="1">
        <w:r w:rsidRPr="006465AE">
          <w:rPr>
            <w:rFonts w:asciiTheme="majorBidi" w:eastAsia="SimSun" w:hAnsiTheme="majorBidi" w:cstheme="majorBidi"/>
            <w:i/>
            <w:iCs/>
            <w:sz w:val="18"/>
            <w:szCs w:val="18"/>
            <w:lang w:eastAsia="zh-CN"/>
          </w:rPr>
          <w:t>adel.mater@mediu.ws</w:t>
        </w:r>
      </w:hyperlink>
    </w:p>
    <w:p w:rsidR="006465AE" w:rsidRPr="00FE0D55" w:rsidRDefault="006465AE" w:rsidP="008305FF">
      <w:pPr>
        <w:tabs>
          <w:tab w:val="left" w:pos="4050"/>
        </w:tabs>
        <w:jc w:val="center"/>
        <w:rPr>
          <w:rFonts w:asciiTheme="majorBidi" w:hAnsiTheme="majorBidi" w:cstheme="majorBidi"/>
          <w:b/>
          <w:bCs/>
          <w:i/>
          <w:iCs/>
          <w:sz w:val="18"/>
          <w:szCs w:val="18"/>
          <w:lang w:bidi="ar-EG"/>
        </w:rPr>
      </w:pPr>
    </w:p>
    <w:p w:rsidR="008305FF" w:rsidRDefault="008305FF" w:rsidP="008305FF">
      <w:pPr>
        <w:bidi/>
        <w:spacing w:before="60"/>
        <w:rPr>
          <w:rFonts w:asciiTheme="majorBidi" w:hAnsiTheme="majorBidi" w:cstheme="majorBidi"/>
          <w:b/>
          <w:bCs/>
          <w:sz w:val="18"/>
          <w:szCs w:val="18"/>
          <w:rtl/>
        </w:rPr>
        <w:sectPr w:rsidR="008305FF" w:rsidSect="00C865AF">
          <w:headerReference w:type="even" r:id="rId9"/>
          <w:footerReference w:type="even" r:id="rId10"/>
          <w:pgSz w:w="11906" w:h="16838" w:code="9"/>
          <w:pgMar w:top="567" w:right="566" w:bottom="709" w:left="851" w:header="709" w:footer="709" w:gutter="0"/>
          <w:cols w:space="708"/>
          <w:titlePg/>
          <w:bidi/>
          <w:docGrid w:linePitch="360"/>
        </w:sectPr>
      </w:pPr>
    </w:p>
    <w:p w:rsidR="008305FF" w:rsidRPr="00916DA5" w:rsidRDefault="008305FF" w:rsidP="008305FF">
      <w:pPr>
        <w:bidi/>
        <w:spacing w:before="60"/>
        <w:rPr>
          <w:rFonts w:asciiTheme="majorBidi" w:eastAsia="Calibri" w:hAnsiTheme="majorBidi" w:cstheme="majorBidi"/>
          <w:b/>
          <w:bCs/>
          <w:sz w:val="18"/>
          <w:szCs w:val="18"/>
          <w:rtl/>
        </w:rPr>
      </w:pPr>
      <w:r w:rsidRPr="008305FF">
        <w:rPr>
          <w:rFonts w:asciiTheme="majorBidi" w:hAnsiTheme="majorBidi" w:cstheme="majorBidi" w:hint="cs"/>
          <w:b/>
          <w:bCs/>
          <w:sz w:val="18"/>
          <w:szCs w:val="18"/>
          <w:rtl/>
        </w:rPr>
        <w:lastRenderedPageBreak/>
        <w:t>خلاصة هذا البحث فى :</w:t>
      </w:r>
      <w:r w:rsidRPr="008305FF">
        <w:rPr>
          <w:rFonts w:asciiTheme="majorBidi" w:eastAsia="Calibri" w:hAnsiTheme="majorBidi" w:cstheme="majorBidi" w:hint="cs"/>
          <w:b/>
          <w:bCs/>
          <w:sz w:val="18"/>
          <w:szCs w:val="18"/>
          <w:rtl/>
        </w:rPr>
        <w:t xml:space="preserve"> الجذور الفكرية والعقائدية للبريلوية، ومواقع نفوذ</w:t>
      </w:r>
      <w:r>
        <w:rPr>
          <w:rFonts w:asciiTheme="majorBidi" w:eastAsia="Calibri" w:hAnsiTheme="majorBidi" w:cstheme="majorBidi"/>
          <w:b/>
          <w:bCs/>
          <w:sz w:val="18"/>
          <w:szCs w:val="18"/>
          <w:rtl/>
        </w:rPr>
        <w:tab/>
      </w:r>
    </w:p>
    <w:p w:rsidR="008305FF" w:rsidRPr="00916DA5" w:rsidRDefault="008305FF" w:rsidP="008305FF">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الجذور، العقائديه، نفوذ</w:t>
      </w:r>
      <w:r>
        <w:rPr>
          <w:rFonts w:asciiTheme="majorBidi" w:eastAsia="Calibri" w:hAnsiTheme="majorBidi" w:cstheme="majorBidi"/>
          <w:b/>
          <w:bCs/>
          <w:sz w:val="18"/>
          <w:szCs w:val="18"/>
          <w:rtl/>
        </w:rPr>
        <w:tab/>
      </w:r>
    </w:p>
    <w:p w:rsidR="008305FF" w:rsidRPr="00916DA5" w:rsidRDefault="008305FF" w:rsidP="008305FF">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8305FF" w:rsidRPr="00916DA5" w:rsidRDefault="008305FF" w:rsidP="008305FF">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8305FF">
        <w:rPr>
          <w:rFonts w:asciiTheme="majorBidi" w:eastAsia="Calibri" w:hAnsiTheme="majorBidi" w:cstheme="majorBidi" w:hint="cs"/>
          <w:b/>
          <w:bCs/>
          <w:sz w:val="18"/>
          <w:szCs w:val="18"/>
          <w:rtl/>
        </w:rPr>
        <w:t>الجذور الفكرية والعقائدية للبريلوية، ومواقع نفوذ</w:t>
      </w:r>
    </w:p>
    <w:p w:rsidR="008305FF" w:rsidRPr="00FE0D55" w:rsidRDefault="008305FF" w:rsidP="008305FF">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تصنف هذه الطريقة من حيث الأصل، ضمن جماعة أهل السنة الملتزمين بالمذهب الحنفي، وهذا خطأ؛ حيث يرى بعض الدارسين، أن أسرة مؤسس الفرقة كانت شيعية، ثم أظهرت تسننها تقيةً، لكنهم مزجوا عقائدهم بعقائد أخرى، ودأبوا على الاحتفال بالمولد النبوي، على غرار الاحتفالات بعيد رأس السنة الميلادية، وهم يغالون في شخصية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بما يوازي الخرافات المنسوبة إلى عيسى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وبسبب عيشهم ضمن القارة الهندية ذات الديانات المتعددة، فلقد انتقلت أفكار الهندوسية، والبوذية لتمازج عقيدتهم الإسلامية، ولقد أضفوا على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وعلى الأولياء، صفات تماثل تلك الصفات التي يضفيها الشيعة على أئمتهم المعصومين في نظرهم، كما انتقلت إليهم عقائد غلاة المتصوفة، والقبوريين وشركياتهم، ونظرياتهم في الحلول، والوحدة، والاتحاد، حتى صارت تلك الأمور جزءًا من معتقداتهم.</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هذا؛ ويؤخذ على البريلوية التطرف الشديد، والغلو في الرسول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ومزج ذلك بعقائد المشركين، ومجانبتهم الصواب في هجومهم وافتراءاتهم على شيخ الإسلام ابن تيمية، وعلى الإمام محمد بن عبد الوهاب، وعلى كل دعاة التوحيد الخالص من أفاضل علماء الأمة الإسلامية، وإطلاق العنان لألسنتهم في تكفير المسلمين لمجرد مخالفتهم في الرأي، وسعيهم الدءوب لتفريق كلمة المسلمين، وتوهين قوتهم.</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على الرغم مما سبق، فإن هذه الفرقة ونظيراتها تحتاج إلى من ينير لها الطريق بالحكمة والموعظة الحسنة، ويزيل عن أعين أصحابها ومريديها، أوهام الجهل والخرافة والتخلف، حتى تكون على الجادة مستقيمة.</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الانتشار ومواقع النفوذ: </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انطلقت الدعوة من "بريلي"، بولاية "أترابراديش"، بالهند لتنتشر في القارة الهندية كلها؛ الهند، وباكستان، وبنجلادش، وبورما، وسريلانكا، لهم وجود في إنجلترا، كما لهم نفوذ في جنوب أفريقيا، وكينيا، ومورشيوس، وعدد من البلدان الإفريقية.</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ويتضح مما سبق، أن البريلوية، فرقة صوفية نشأت في شبه القارة الهندية الباكستانية، إبان الاستعمار البريطاني، وهم يغالون في الأنبياء، والأولياء، ويحاربون دعاة التوحيد الخالص، ويعتقدون أن الرسول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له قدرة يتحكم بها في الكون، وأنه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والأولياء من بعده، لهم قدرة على التصرف في الكون، ولديهم عقيدة اسمها عقيدة الشهود، فيعتقدون أن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حاضر وناظر لأعمال الخلق في كل زمان ومكان، وهم ينكرون بشريته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ويحثون أتباعهم على الاستغاثة بالأنبياء والأولياء، ويشيدون القبور ويعمرونها، وينيرونها بالشموع والقناديل.</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وبين يدي كتاب (البريلوية حقائق وعقائد)، للباحث سيد رحمة الله القادري، يحاول الدفاع عن هذه الطريقة ،ويشيد بمؤسسها، ويشير إلى أن هذه الطريقة على منهج أهل السنة والجماعة، أو يفيد بأنها قد تحررت من الأوهام والخرافات، وأنها آلت إلى العقيدة الصحيحة، فيقول عن شيخ الطريقة:" كان يرى بصراحة أن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خاتم النبيين، ولا نبي بعده". </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وقد قام بالرد البليغ على القاديانية، كما حث تلاميذه، وخلفاءه على مقاومة هذه الفرقة الضالة، وأنه كان يرى أن الله تعالى أكرم نبينا بمنزلة سامية، لم يحظ بها أحد من قبله من الأنبياء والمرسلين، فكان يرى إبراز عظمة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واجبًا دينيًّا، فكتب في هذا الخصوص الكثير من المؤلفات منها (تجلي اليقين بأن نبينا سيد المرسلين).</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وكان يرى أن نبينا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رسول الله إلى الخلق، ووسيلة المخلوق إلى الخالق؛ فإننا نتوسل ونستغيث به إلى الله تعالى في قضاء الحوائج، كما توسلنا به في معرفة وحدانية الله تعالى، وأوامره ونواهيه، وراح يبرر جواز التوسل بذكر عدد من الأئمة الذين يجيزون التوسل أو يستحبونه, وكان يعتقد في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أنه صفوة البشر حيث أكرمه الله تعالى بالنور، كما صرحت بهذا الأمر الآيات القرآنية، والأحاديث النبوية الشريفة.</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ثم قال: "ومن المؤسف أن بعض الناس لم يعرف عقيدة الإمام أحمد رضا خان معرفة واضحة؛ نظرًا لعدم اطلاعهم على كتبه، ومؤلفاته، ونسبوا إليهم إنشاء فرقة جديدة باسم "البريلوية"، مع أن البريلوية ليست فرقة أصلًا، بل هم أصل السنة والجماعة، والصوفية الصافية، وعلى مذهب الإمام الأعظم أبي حنيفة</w:t>
      </w:r>
      <w:r w:rsidRPr="008305FF">
        <w:rPr>
          <w:rFonts w:cs="SC_ALYERMOOK" w:hint="cs"/>
          <w:position w:val="-4"/>
          <w:sz w:val="18"/>
          <w:szCs w:val="18"/>
          <w:rtl/>
        </w:rPr>
        <w:t>&gt;</w:t>
      </w:r>
      <w:r w:rsidRPr="008305FF">
        <w:rPr>
          <w:rFonts w:cs="Times New Roman" w:hint="cs"/>
          <w:sz w:val="18"/>
          <w:szCs w:val="18"/>
          <w:rtl/>
        </w:rPr>
        <w:t xml:space="preserve">، وهذا الاسم أطلق على أهل السنة والجماعة من المخالفين لهم، كما أشار إلى هذا الأمر مولانا محمد إسماعيل الأزهري، حفيد الإمام أحمد رضا خان، قائلًا: "نسبَتنا أهل السنة والجماعة إلى البريلوية، ونحن بحمد الله عن هذه التهمة براء، ولا ندين البريلوية، ولا ملة جديدة غيرها، إنما ندين الملة السمحاء البيضاء، التي ليلها كنهارها، فلم نزل من أهل السنة، وفي أهل السنة ،ومع أهل السنة عن بكرة أبينا، والله على ما نقول وكيل". </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lastRenderedPageBreak/>
        <w:t>وأيضًا قال: "نحن على صراط سيدنا محمد المصطفى، والصحابة، والتابعين، والأئمة والأولياء، ونحن أهل السنة، وإنما يسمينا أعداؤنا "البريلوية"، والقصد أننا على مذهب حديث، وهذا افتراء علينا".</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 ثم راح يذكر في كتابه جواز التوسل نقلًا عن بعض العلماء، واستدلالات لعلم الرسول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من القرآن والحديث، ومن أقوال العلماء في علم غيبه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يتأول الآيات على غير وجهها، وكذا الأحاديث، أي: فيما أعلم اللهُ </w:t>
      </w:r>
      <w:r w:rsidRPr="008305FF">
        <w:rPr>
          <w:rFonts w:cs="Times New Roman"/>
          <w:position w:val="-2"/>
          <w:sz w:val="18"/>
          <w:szCs w:val="18"/>
          <w:rtl/>
        </w:rPr>
        <w:sym w:font="AGA Arabesque" w:char="F055"/>
      </w:r>
      <w:r w:rsidRPr="008305FF">
        <w:rPr>
          <w:rFonts w:cs="Times New Roman" w:hint="cs"/>
          <w:sz w:val="18"/>
          <w:szCs w:val="18"/>
          <w:rtl/>
        </w:rPr>
        <w:t xml:space="preserve">  به نبيه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فيزعم أن هذا من علم الغيب للنبي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وراح يرد على علماء" ديوبند"، الذين هم أهل سنة وجماعة.</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كما لم ينس صاحبنا -في بداية كتابه- أن يتحدث عن الحركة الوهابية، ونشأتها في الهند، مع ذكر طبقاتها الخمس، وتحدث أيضًا عن شيخ الإسلام ابن تيمية، ومن بعده عن الشيخ محمد بن عبد الوهاب، ينعي على ابن تيمية أمورًا عُرفت عن أهل السنة والجماعة، لكنه ينسبه إلى المجسمة، وإلى الجهمية، وينكر عليه تحريم التوسل بالأنبياء والصالحين بعد موتهم، وأنه خالف بذلك إجماع المسلمين، كما أنكر على الشيخ ابن عبد الوهاب دعوته، التي هي امتداد لدعوة ابن تيمية، متمثلة في تحريم التوسل بالنبي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وتحريم السفر لزيارة قبره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وغيره من الأنبياء والصالحين بقصد الدعاء، ونقل عن كتاب (فتنة الوهابية)، الذي ألفه أحمد بن زين الدحلان، يشنع فيه على ابن عبد الوهاب -رحمه الله تعالى- الذي زعم أن زيارة قبر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والاتصال به، والأنبياء، والأولياء الصالحين، وزيارة قبورهم للتبرك من الشرك.</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هذا؛ وأجد أيضًا في الكتاب استدلالات لعلم رسول الله من القرآن والحديث، ومن أقوال العلماء، في أنه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كان يعلم الغيب، ويعلم ما في غد، وعلم الروح، ثم تولى الكتاب بالرد على جماعة أهل الحديث، وحركة "ديوبند"، والحركة القاديانية، وأشار إلى موقف الإمام أحمد رضا خان من الشيعة. </w:t>
      </w:r>
    </w:p>
    <w:p w:rsidR="008305FF" w:rsidRPr="008305FF" w:rsidRDefault="008305FF" w:rsidP="008305FF">
      <w:pPr>
        <w:pStyle w:val="NormalWeb"/>
        <w:bidi/>
        <w:ind w:left="0" w:right="0"/>
        <w:jc w:val="lowKashida"/>
        <w:rPr>
          <w:rFonts w:cs="Times New Roman"/>
          <w:sz w:val="18"/>
          <w:szCs w:val="18"/>
          <w:rtl/>
        </w:rPr>
      </w:pPr>
      <w:r w:rsidRPr="008305FF">
        <w:rPr>
          <w:rFonts w:cs="Times New Roman" w:hint="cs"/>
          <w:sz w:val="18"/>
          <w:szCs w:val="18"/>
          <w:rtl/>
        </w:rPr>
        <w:t xml:space="preserve">ثم خُتم الكتاب بآراء العلماء العرب في الإمام أحمد رضا خان، ورسالة دكتوراه في شخصيته، حتى كانت الخاتمة لهذا الكتاب، مبينة أنه حاول أن يوضح الحق، وأنه واضح ساطع، وأن يدحض الباطل، وأنه حاول أن يرد على الأيدي الآثمة التي توجه بعض الناس؛ لتشويه صورة "البريلوية"، والحط من مكانتها في قلوب المسلمين، لا توفر شيئًا في سبيل ذلك، فإن أتباع الحق وأحباب الإمام أحمد رضا خان، سيكونون درعًا وترسًا للإمام، ولـ"البريلوية" من كل مكروه، ولسان حال كل واحد منهم، ما قاله ورقة للرسول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وإن يدركني يومك أنصرك نصرًا مؤزرًا، وما قاله ذاك الصحابي، يوم أُحد عندما أشيع أن النبي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 xml:space="preserve"> قتل، قال: قوموا فموتوا على ما مات عليه محمد </w:t>
      </w:r>
      <w:r w:rsidRPr="008305FF">
        <w:rPr>
          <w:rFonts w:cs="Times New Roman" w:hint="cs"/>
          <w:spacing w:val="20"/>
          <w:position w:val="-4"/>
          <w:sz w:val="18"/>
          <w:szCs w:val="18"/>
          <w:rtl/>
        </w:rPr>
        <w:sym w:font="AGA Arabesque" w:char="F065"/>
      </w:r>
      <w:r w:rsidRPr="008305FF">
        <w:rPr>
          <w:rFonts w:cs="Times New Roman" w:hint="cs"/>
          <w:spacing w:val="20"/>
          <w:sz w:val="18"/>
          <w:szCs w:val="18"/>
          <w:rtl/>
        </w:rPr>
        <w:t xml:space="preserve"> </w:t>
      </w:r>
      <w:r w:rsidRPr="008305FF">
        <w:rPr>
          <w:rFonts w:cs="Times New Roman" w:hint="cs"/>
          <w:sz w:val="18"/>
          <w:szCs w:val="18"/>
          <w:rtl/>
        </w:rPr>
        <w:t>.</w:t>
      </w:r>
    </w:p>
    <w:p w:rsidR="008305FF" w:rsidRDefault="008305FF" w:rsidP="008305FF">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8305FF" w:rsidRPr="00545C45" w:rsidRDefault="008305FF" w:rsidP="008305FF">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8305FF" w:rsidRPr="00545C45" w:rsidRDefault="008305FF" w:rsidP="008305FF">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8305FF" w:rsidRPr="008305FF" w:rsidRDefault="008305FF" w:rsidP="008305FF">
      <w:pPr>
        <w:spacing w:line="500" w:lineRule="exact"/>
        <w:rPr>
          <w:rFonts w:ascii="Calibri" w:eastAsia="Calibri" w:hAnsi="Calibri"/>
          <w:sz w:val="32"/>
          <w:szCs w:val="32"/>
        </w:rPr>
        <w:sectPr w:rsidR="008305FF" w:rsidRPr="008305FF" w:rsidSect="008305FF">
          <w:type w:val="continuous"/>
          <w:pgSz w:w="11906" w:h="16838" w:code="9"/>
          <w:pgMar w:top="567" w:right="566" w:bottom="709" w:left="851" w:header="709" w:footer="709" w:gutter="0"/>
          <w:cols w:num="2" w:space="708"/>
          <w:titlePg/>
          <w:bidi/>
          <w:docGrid w:linePitch="360"/>
        </w:sectPr>
      </w:pPr>
    </w:p>
    <w:p w:rsidR="004219C3" w:rsidRPr="008305FF" w:rsidRDefault="004219C3" w:rsidP="008305FF">
      <w:pPr>
        <w:spacing w:before="60"/>
        <w:jc w:val="center"/>
        <w:rPr>
          <w:rFonts w:asciiTheme="majorBidi" w:eastAsia="Calibri" w:hAnsiTheme="majorBidi" w:cstheme="majorBidi"/>
          <w:b/>
          <w:bCs/>
          <w:sz w:val="44"/>
          <w:szCs w:val="44"/>
        </w:rPr>
      </w:pPr>
    </w:p>
    <w:sectPr w:rsidR="004219C3" w:rsidRPr="008305FF"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77F" w:rsidRDefault="0023177F" w:rsidP="004F591B">
      <w:r>
        <w:separator/>
      </w:r>
    </w:p>
  </w:endnote>
  <w:endnote w:type="continuationSeparator" w:id="1">
    <w:p w:rsidR="0023177F" w:rsidRDefault="0023177F" w:rsidP="004F5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ateen">
    <w:charset w:val="B2"/>
    <w:family w:val="auto"/>
    <w:pitch w:val="variable"/>
    <w:sig w:usb0="00002001" w:usb1="00000000" w:usb2="00000000" w:usb3="00000000" w:csb0="00000040"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6A" w:rsidRPr="00C54812" w:rsidRDefault="0023177F" w:rsidP="004E38E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77F" w:rsidRDefault="0023177F" w:rsidP="004F591B">
      <w:r>
        <w:separator/>
      </w:r>
    </w:p>
  </w:footnote>
  <w:footnote w:type="continuationSeparator" w:id="1">
    <w:p w:rsidR="0023177F" w:rsidRDefault="0023177F" w:rsidP="004F5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56" w:rsidRPr="00C54812" w:rsidRDefault="004F591B">
    <w:pPr>
      <w:pStyle w:val="Header"/>
    </w:pPr>
    <w:r>
      <w:rPr>
        <w:noProof/>
      </w:rPr>
      <w:pict>
        <v:group id="_x0000_s1025" style="position:absolute;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607D56" w:rsidRPr="00907733" w:rsidRDefault="004F591B" w:rsidP="00832151">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D9642A"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D9642A">
                    <w:rPr>
                      <w:rStyle w:val="PageNumber"/>
                      <w:rFonts w:cs="AL-Mateen"/>
                      <w:noProof/>
                      <w:color w:val="FFFFFF"/>
                      <w:sz w:val="40"/>
                      <w:szCs w:val="40"/>
                      <w:rtl/>
                    </w:rPr>
                    <w:t>556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28"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2622;top:2278;width:2551;height:397" fillcolor="#369" stroked="f">
            <v:shadow on="t" color="#b2b2b2" opacity="52429f" offset="1pt,0" offset2="-4pt,-4pt"/>
            <v:textpath style="font-family:&quot;Al-Mothnna&quot;;v-text-kern:t" trim="t" fitpath="t" string="بقية الفرق المنسبة للإسلام"/>
          </v:shape>
          <v:rect id="_x0000_s1030"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0">
              <w:txbxContent>
                <w:p w:rsidR="00607D56" w:rsidRPr="00E31343" w:rsidRDefault="0023177F" w:rsidP="00832151">
                  <w:pPr>
                    <w:ind w:left="428"/>
                    <w:rPr>
                      <w:rFonts w:cs="AGA Granada Regular"/>
                      <w:color w:val="FFFFFF"/>
                      <w:sz w:val="36"/>
                      <w:szCs w:val="36"/>
                      <w:rtl/>
                    </w:rPr>
                  </w:pPr>
                </w:p>
              </w:txbxContent>
            </v:textbox>
          </v:rect>
          <v:shape id="_x0000_s1031" type="#_x0000_t136" style="position:absolute;left:7733;top:2326;width:1417;height:317" stroked="f">
            <v:shadow on="t" color="black" opacity="52429f" offset="1pt,0" offset2="-4pt,-4pt"/>
            <v:textpath style="font-family:&quot;AGA Granada Regular&quot;;v-text-kern:t" trim="t" fitpath="t" string="قائمة المراجع العامة"/>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1"/>
      <o:rules v:ext="edit">
        <o:r id="V:Rule2" type="connector" idref="#_x0000_s1028"/>
      </o:rules>
    </o:shapelayout>
  </w:hdrShapeDefaults>
  <w:footnotePr>
    <w:footnote w:id="0"/>
    <w:footnote w:id="1"/>
  </w:footnotePr>
  <w:endnotePr>
    <w:endnote w:id="0"/>
    <w:endnote w:id="1"/>
  </w:endnotePr>
  <w:compat/>
  <w:rsids>
    <w:rsidRoot w:val="008305FF"/>
    <w:rsid w:val="001A2769"/>
    <w:rsid w:val="0023177F"/>
    <w:rsid w:val="004168A0"/>
    <w:rsid w:val="004219C3"/>
    <w:rsid w:val="004F591B"/>
    <w:rsid w:val="006465AE"/>
    <w:rsid w:val="008305FF"/>
    <w:rsid w:val="009C43C4"/>
    <w:rsid w:val="00D964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05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305FF"/>
    <w:pPr>
      <w:ind w:left="75" w:right="75"/>
      <w:jc w:val="both"/>
    </w:pPr>
    <w:rPr>
      <w:rFonts w:ascii="Tahoma" w:hAnsi="Tahoma" w:cs="Tahoma"/>
      <w:sz w:val="36"/>
      <w:szCs w:val="36"/>
    </w:rPr>
  </w:style>
  <w:style w:type="paragraph" w:styleId="Header">
    <w:name w:val="header"/>
    <w:basedOn w:val="Normal"/>
    <w:link w:val="HeaderChar"/>
    <w:rsid w:val="008305FF"/>
    <w:pPr>
      <w:tabs>
        <w:tab w:val="center" w:pos="4153"/>
        <w:tab w:val="right" w:pos="8306"/>
      </w:tabs>
    </w:pPr>
  </w:style>
  <w:style w:type="character" w:customStyle="1" w:styleId="HeaderChar">
    <w:name w:val="Header Char"/>
    <w:basedOn w:val="DefaultParagraphFont"/>
    <w:link w:val="Header"/>
    <w:rsid w:val="008305FF"/>
    <w:rPr>
      <w:rFonts w:ascii="Times New Roman" w:eastAsia="Times New Roman" w:hAnsi="Times New Roman" w:cs="Times New Roman"/>
      <w:sz w:val="24"/>
      <w:szCs w:val="24"/>
    </w:rPr>
  </w:style>
  <w:style w:type="paragraph" w:styleId="Footer">
    <w:name w:val="footer"/>
    <w:basedOn w:val="Normal"/>
    <w:link w:val="FooterChar"/>
    <w:rsid w:val="008305FF"/>
    <w:pPr>
      <w:tabs>
        <w:tab w:val="center" w:pos="4153"/>
        <w:tab w:val="right" w:pos="8306"/>
      </w:tabs>
    </w:pPr>
  </w:style>
  <w:style w:type="character" w:customStyle="1" w:styleId="FooterChar">
    <w:name w:val="Footer Char"/>
    <w:basedOn w:val="DefaultParagraphFont"/>
    <w:link w:val="Footer"/>
    <w:rsid w:val="008305FF"/>
    <w:rPr>
      <w:rFonts w:ascii="Times New Roman" w:eastAsia="Times New Roman" w:hAnsi="Times New Roman" w:cs="Times New Roman"/>
      <w:sz w:val="24"/>
      <w:szCs w:val="24"/>
    </w:rPr>
  </w:style>
  <w:style w:type="character" w:styleId="PageNumber">
    <w:name w:val="page number"/>
    <w:basedOn w:val="DefaultParagraphFont"/>
    <w:rsid w:val="008305FF"/>
  </w:style>
  <w:style w:type="paragraph" w:customStyle="1" w:styleId="Affiliation">
    <w:name w:val="Affiliation"/>
    <w:rsid w:val="008305F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305F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8305FF"/>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305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mater@mediu.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1248-0A38-4C05-B78A-389D9643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1162</Words>
  <Characters>6626</Characters>
  <Application>Microsoft Office Word</Application>
  <DocSecurity>0</DocSecurity>
  <Lines>55</Lines>
  <Paragraphs>15</Paragraphs>
  <ScaleCrop>false</ScaleCrop>
  <Company>Fannan</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2013-06-21T20:16:00Z</dcterms:created>
  <dcterms:modified xsi:type="dcterms:W3CDTF">2013-07-03T12:05:00Z</dcterms:modified>
</cp:coreProperties>
</file>