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D9B" w:rsidRDefault="00676D9B" w:rsidP="003808BB">
      <w:pPr>
        <w:spacing w:before="60"/>
        <w:jc w:val="center"/>
        <w:rPr>
          <w:rFonts w:asciiTheme="majorBidi" w:eastAsia="Calibri" w:hAnsiTheme="majorBidi" w:cstheme="majorBidi"/>
          <w:b/>
          <w:bCs/>
          <w:sz w:val="44"/>
          <w:szCs w:val="44"/>
          <w:rtl/>
          <w:lang w:bidi="ar-EG"/>
        </w:rPr>
      </w:pPr>
      <w:r w:rsidRPr="00676D9B">
        <w:rPr>
          <w:rFonts w:asciiTheme="majorBidi" w:eastAsia="Calibri" w:hAnsiTheme="majorBidi" w:cstheme="majorBidi" w:hint="cs"/>
          <w:b/>
          <w:bCs/>
          <w:sz w:val="44"/>
          <w:szCs w:val="44"/>
          <w:rtl/>
        </w:rPr>
        <w:t>الجذور الفكرية والعقائدية للأشاعرة</w:t>
      </w:r>
    </w:p>
    <w:p w:rsidR="00676D9B" w:rsidRPr="00FE0D55" w:rsidRDefault="00676D9B" w:rsidP="00560538">
      <w:pPr>
        <w:jc w:val="center"/>
        <w:rPr>
          <w:rFonts w:asciiTheme="majorBidi" w:eastAsia="Calibri" w:hAnsiTheme="majorBidi" w:cstheme="majorBidi"/>
          <w:b/>
          <w:bCs/>
          <w:i/>
          <w:iCs/>
          <w:color w:val="4F81BD"/>
          <w:sz w:val="18"/>
          <w:szCs w:val="18"/>
          <w:rtl/>
          <w:lang w:bidi="ar-EG"/>
        </w:rPr>
      </w:pP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676D9B" w:rsidRPr="00011376" w:rsidRDefault="00676D9B" w:rsidP="00011376">
      <w:pPr>
        <w:pStyle w:val="Author"/>
        <w:tabs>
          <w:tab w:val="left" w:pos="4366"/>
          <w:tab w:val="center" w:pos="5244"/>
        </w:tabs>
        <w:bidi/>
        <w:spacing w:before="0" w:after="0"/>
        <w:rPr>
          <w:rFonts w:asciiTheme="majorBidi" w:hAnsiTheme="majorBidi" w:cstheme="majorBidi"/>
          <w:b/>
          <w:bCs/>
          <w:i/>
          <w:iCs/>
          <w:sz w:val="18"/>
          <w:szCs w:val="18"/>
          <w:lang w:eastAsia="zh-CN"/>
        </w:rPr>
      </w:pPr>
      <w:r w:rsidRPr="00FE0D55">
        <w:rPr>
          <w:rFonts w:asciiTheme="majorBidi" w:hAnsiTheme="majorBidi" w:cstheme="majorBidi"/>
          <w:b/>
          <w:bCs/>
          <w:i/>
          <w:iCs/>
          <w:sz w:val="18"/>
          <w:szCs w:val="18"/>
          <w:rtl/>
          <w:lang w:eastAsia="zh-CN"/>
        </w:rPr>
        <w:t xml:space="preserve">إعداد / </w:t>
      </w:r>
      <w:r w:rsidR="00011376" w:rsidRPr="00011376">
        <w:rPr>
          <w:rFonts w:asciiTheme="majorBidi" w:hAnsiTheme="majorBidi" w:cstheme="majorBidi" w:hint="cs"/>
          <w:b/>
          <w:bCs/>
          <w:i/>
          <w:iCs/>
          <w:sz w:val="18"/>
          <w:szCs w:val="18"/>
          <w:rtl/>
          <w:lang w:eastAsia="zh-CN"/>
        </w:rPr>
        <w:t xml:space="preserve">أحمد عبد الحميد مهدى  </w:t>
      </w:r>
    </w:p>
    <w:p w:rsidR="00676D9B" w:rsidRPr="00011376" w:rsidRDefault="00676D9B" w:rsidP="00560538">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قسم الدعوة وأصول الدين</w:t>
      </w:r>
    </w:p>
    <w:p w:rsidR="00676D9B" w:rsidRPr="00FE0D55" w:rsidRDefault="00676D9B" w:rsidP="00560538">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676D9B" w:rsidRPr="00FE0D55" w:rsidRDefault="00676D9B" w:rsidP="00560538">
      <w:pPr>
        <w:pStyle w:val="Affiliation"/>
        <w:bidi/>
        <w:rPr>
          <w:rFonts w:asciiTheme="majorBidi" w:hAnsiTheme="majorBidi" w:cstheme="majorBidi"/>
          <w:b/>
          <w:bCs/>
          <w:i/>
          <w:iCs/>
          <w:sz w:val="18"/>
          <w:szCs w:val="18"/>
          <w:rtl/>
        </w:rPr>
      </w:pPr>
      <w:r w:rsidRPr="00FE0D55">
        <w:rPr>
          <w:rFonts w:asciiTheme="majorBidi" w:hAnsiTheme="majorBidi" w:cstheme="majorBidi"/>
          <w:b/>
          <w:bCs/>
          <w:i/>
          <w:iCs/>
          <w:sz w:val="18"/>
          <w:szCs w:val="18"/>
          <w:rtl/>
        </w:rPr>
        <w:t>شاه علم - ماليزيا</w:t>
      </w:r>
    </w:p>
    <w:p w:rsidR="00560538" w:rsidRPr="00011376" w:rsidRDefault="00011376" w:rsidP="00560538">
      <w:pPr>
        <w:tabs>
          <w:tab w:val="left" w:pos="4050"/>
        </w:tabs>
        <w:jc w:val="center"/>
        <w:rPr>
          <w:rFonts w:asciiTheme="majorBidi" w:eastAsia="SimSun" w:hAnsiTheme="majorBidi" w:cstheme="majorBidi" w:hint="cs"/>
          <w:b/>
          <w:bCs/>
          <w:i/>
          <w:iCs/>
          <w:sz w:val="18"/>
          <w:szCs w:val="18"/>
          <w:rtl/>
          <w:lang w:eastAsia="zh-CN"/>
        </w:rPr>
      </w:pPr>
      <w:hyperlink r:id="rId6" w:history="1">
        <w:r w:rsidRPr="00011376">
          <w:rPr>
            <w:rFonts w:asciiTheme="majorBidi" w:eastAsia="SimSun" w:hAnsiTheme="majorBidi" w:cstheme="majorBidi"/>
            <w:b/>
            <w:bCs/>
            <w:i/>
            <w:iCs/>
            <w:sz w:val="18"/>
            <w:szCs w:val="18"/>
            <w:lang w:eastAsia="zh-CN"/>
          </w:rPr>
          <w:t>ahmed.mahdey@mediu.ws</w:t>
        </w:r>
      </w:hyperlink>
    </w:p>
    <w:p w:rsidR="00011376" w:rsidRPr="00FE0D55" w:rsidRDefault="00011376" w:rsidP="00560538">
      <w:pPr>
        <w:tabs>
          <w:tab w:val="left" w:pos="4050"/>
        </w:tabs>
        <w:jc w:val="center"/>
        <w:rPr>
          <w:rFonts w:asciiTheme="majorBidi" w:hAnsiTheme="majorBidi" w:cstheme="majorBidi"/>
          <w:b/>
          <w:bCs/>
          <w:i/>
          <w:iCs/>
          <w:sz w:val="18"/>
          <w:szCs w:val="18"/>
          <w:lang w:bidi="ar-EG"/>
        </w:rPr>
      </w:pPr>
    </w:p>
    <w:p w:rsidR="00560538" w:rsidRDefault="00560538" w:rsidP="00560538">
      <w:pPr>
        <w:spacing w:before="60"/>
        <w:jc w:val="right"/>
        <w:rPr>
          <w:rFonts w:asciiTheme="majorBidi" w:hAnsiTheme="majorBidi" w:cstheme="majorBidi"/>
          <w:b/>
          <w:bCs/>
          <w:sz w:val="18"/>
          <w:szCs w:val="18"/>
          <w:rtl/>
        </w:rPr>
        <w:sectPr w:rsidR="00560538" w:rsidSect="004168A0">
          <w:pgSz w:w="11906" w:h="16838"/>
          <w:pgMar w:top="1440" w:right="1800" w:bottom="1440" w:left="1800" w:header="708" w:footer="708" w:gutter="0"/>
          <w:cols w:space="708"/>
          <w:bidi/>
          <w:rtlGutter/>
          <w:docGrid w:linePitch="360"/>
        </w:sectPr>
      </w:pPr>
    </w:p>
    <w:p w:rsidR="00676D9B" w:rsidRPr="00916DA5" w:rsidRDefault="00676D9B" w:rsidP="00560538">
      <w:pPr>
        <w:spacing w:before="60"/>
        <w:jc w:val="right"/>
        <w:rPr>
          <w:rFonts w:asciiTheme="majorBidi" w:eastAsia="Calibri" w:hAnsiTheme="majorBidi" w:cstheme="majorBidi"/>
          <w:b/>
          <w:bCs/>
          <w:sz w:val="18"/>
          <w:szCs w:val="18"/>
          <w:rtl/>
          <w:lang w:bidi="ar-EG"/>
        </w:rPr>
      </w:pPr>
      <w:r w:rsidRPr="00560538">
        <w:rPr>
          <w:rFonts w:asciiTheme="majorBidi" w:hAnsiTheme="majorBidi" w:cstheme="majorBidi" w:hint="cs"/>
          <w:b/>
          <w:bCs/>
          <w:sz w:val="18"/>
          <w:szCs w:val="18"/>
          <w:rtl/>
        </w:rPr>
        <w:lastRenderedPageBreak/>
        <w:t>خلاصة هذا البحث فى :</w:t>
      </w:r>
      <w:r w:rsidR="00560538" w:rsidRPr="00560538">
        <w:rPr>
          <w:rFonts w:asciiTheme="majorBidi" w:eastAsia="Calibri" w:hAnsiTheme="majorBidi" w:cstheme="majorBidi" w:hint="cs"/>
          <w:b/>
          <w:bCs/>
          <w:sz w:val="18"/>
          <w:szCs w:val="18"/>
          <w:rtl/>
        </w:rPr>
        <w:t xml:space="preserve"> الجذور الفكرية والعقائدية للأشاعرة، وانتشارهم ومواقع نفوذهم</w:t>
      </w:r>
    </w:p>
    <w:p w:rsidR="00676D9B" w:rsidRPr="00916DA5" w:rsidRDefault="00676D9B" w:rsidP="00560538">
      <w:pPr>
        <w:tabs>
          <w:tab w:val="center" w:pos="5244"/>
        </w:tabs>
        <w:bidi/>
        <w:spacing w:before="60"/>
        <w:rPr>
          <w:rFonts w:asciiTheme="majorBidi" w:eastAsia="Calibri" w:hAnsiTheme="majorBidi" w:cstheme="majorBidi"/>
          <w:b/>
          <w:bCs/>
          <w:sz w:val="18"/>
          <w:szCs w:val="18"/>
          <w:rtl/>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w:t>
      </w:r>
      <w:r w:rsidR="00560538">
        <w:rPr>
          <w:rFonts w:asciiTheme="majorBidi" w:eastAsia="Calibri" w:hAnsiTheme="majorBidi" w:cstheme="majorBidi" w:hint="cs"/>
          <w:b/>
          <w:bCs/>
          <w:sz w:val="18"/>
          <w:szCs w:val="18"/>
          <w:rtl/>
        </w:rPr>
        <w:t xml:space="preserve"> الجذور ، نفوذهم ، انتشارهم</w:t>
      </w:r>
    </w:p>
    <w:p w:rsidR="00676D9B" w:rsidRPr="00916DA5" w:rsidRDefault="00676D9B" w:rsidP="00676D9B">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676D9B" w:rsidRPr="00916DA5" w:rsidRDefault="00676D9B" w:rsidP="00676D9B">
      <w:pPr>
        <w:bidi/>
        <w:spacing w:before="60"/>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560538" w:rsidRPr="00560538">
        <w:rPr>
          <w:rFonts w:asciiTheme="majorBidi" w:eastAsia="Calibri" w:hAnsiTheme="majorBidi" w:cstheme="majorBidi" w:hint="cs"/>
          <w:b/>
          <w:bCs/>
          <w:sz w:val="18"/>
          <w:szCs w:val="18"/>
          <w:rtl/>
        </w:rPr>
        <w:t>الجذور الفكرية والعقائدية للأشاعرة، وانتشارهم ومواقع نفوذهم</w:t>
      </w:r>
    </w:p>
    <w:p w:rsidR="00676D9B" w:rsidRPr="00FE0D55" w:rsidRDefault="00676D9B" w:rsidP="00676D9B">
      <w:pPr>
        <w:pStyle w:val="ListParagraph"/>
        <w:numPr>
          <w:ilvl w:val="0"/>
          <w:numId w:val="3"/>
        </w:numPr>
        <w:spacing w:line="240" w:lineRule="auto"/>
        <w:ind w:left="733" w:hanging="90"/>
        <w:jc w:val="center"/>
        <w:rPr>
          <w:rFonts w:asciiTheme="majorBidi" w:hAnsiTheme="majorBidi" w:cstheme="majorBidi"/>
          <w:b/>
          <w:bCs/>
          <w:i/>
          <w:iCs/>
          <w:sz w:val="20"/>
          <w:szCs w:val="20"/>
          <w:rtl/>
        </w:rPr>
      </w:pPr>
      <w:r w:rsidRPr="00FE0D55">
        <w:rPr>
          <w:rFonts w:asciiTheme="majorBidi" w:hAnsiTheme="majorBidi" w:cstheme="majorBidi"/>
          <w:b/>
          <w:bCs/>
          <w:i/>
          <w:iCs/>
          <w:sz w:val="20"/>
          <w:szCs w:val="20"/>
          <w:rtl/>
        </w:rPr>
        <w:t>.عنوان المقال</w:t>
      </w:r>
      <w:r w:rsidRPr="00FE0D55">
        <w:rPr>
          <w:rFonts w:asciiTheme="majorBidi" w:hAnsiTheme="majorBidi" w:cstheme="majorBidi" w:hint="cs"/>
          <w:b/>
          <w:bCs/>
          <w:i/>
          <w:iCs/>
          <w:sz w:val="20"/>
          <w:szCs w:val="20"/>
          <w:rtl/>
        </w:rPr>
        <w:t>ة</w:t>
      </w:r>
    </w:p>
    <w:p w:rsidR="00676D9B" w:rsidRPr="00560538" w:rsidRDefault="00676D9B" w:rsidP="00560538">
      <w:pPr>
        <w:pStyle w:val="NormalWeb"/>
        <w:bidi/>
        <w:ind w:left="0" w:right="0"/>
        <w:jc w:val="lowKashida"/>
        <w:rPr>
          <w:rFonts w:cs="AL-Hotham"/>
          <w:sz w:val="18"/>
          <w:szCs w:val="18"/>
          <w:rtl/>
        </w:rPr>
      </w:pPr>
      <w:r w:rsidRPr="00560538">
        <w:rPr>
          <w:rFonts w:cs="AL-Hotham" w:hint="cs"/>
          <w:sz w:val="18"/>
          <w:szCs w:val="18"/>
          <w:rtl/>
        </w:rPr>
        <w:t>كما رأينا في آراء أبي الحسن الأشعري في مرحلته الثانية أن العقيدة الإسلامية كما هي في الكتاب والسنة على منهج ابن كُلَّاب، هي الأساس في آرائه الكلامية، وفق ما يتفق مع أحكام العقل، وقد تأثر أئمة المذهب بعد أبي الحسن الأشعري، ببعض أفكار ومعتقدات الجهمية من الإرجاء والتعطيل، وكذلك بالمعتزلة والفلاسفة في بعض الصفات وتحريف نصوصها، ونفي الصفات الخبرية، كما تأثروا بالجبرية في مسألة القدر، ولا ينفي ذلك تأثرهم بعقيدة أهل السنة والجماعة فيما وافقوهم فيها، وقد سبق بيانه، وإن كان على الإجمال.</w:t>
      </w:r>
    </w:p>
    <w:p w:rsidR="00676D9B" w:rsidRPr="00560538" w:rsidRDefault="00676D9B" w:rsidP="00560538">
      <w:pPr>
        <w:pStyle w:val="NormalWeb"/>
        <w:bidi/>
        <w:ind w:left="0" w:right="0"/>
        <w:jc w:val="lowKashida"/>
        <w:rPr>
          <w:rFonts w:cs="AL-Hotham"/>
          <w:sz w:val="18"/>
          <w:szCs w:val="18"/>
          <w:rtl/>
        </w:rPr>
      </w:pPr>
      <w:r w:rsidRPr="00560538">
        <w:rPr>
          <w:rFonts w:cs="AL-Hotham" w:hint="cs"/>
          <w:sz w:val="18"/>
          <w:szCs w:val="18"/>
          <w:rtl/>
        </w:rPr>
        <w:t>الانتشار، ومواقع النفوذ:</w:t>
      </w:r>
    </w:p>
    <w:p w:rsidR="00676D9B" w:rsidRPr="00560538" w:rsidRDefault="00676D9B" w:rsidP="00560538">
      <w:pPr>
        <w:pStyle w:val="NormalWeb"/>
        <w:bidi/>
        <w:ind w:left="0" w:right="0"/>
        <w:jc w:val="lowKashida"/>
        <w:rPr>
          <w:rFonts w:cs="AL-Hotham"/>
          <w:sz w:val="18"/>
          <w:szCs w:val="18"/>
          <w:rtl/>
        </w:rPr>
      </w:pPr>
      <w:r w:rsidRPr="00560538">
        <w:rPr>
          <w:rFonts w:cs="AL-Hotham" w:hint="cs"/>
          <w:sz w:val="18"/>
          <w:szCs w:val="18"/>
          <w:rtl/>
        </w:rPr>
        <w:t>فقد انتشر المذهب الأشعري في عهد وزارة نظام الملك، الذي كان أشعري العقيدة، وصاحب الكلمة النافذة في الإمبراطورية السلجوقية، وكذلك أصبحت العقيدة الأشعرية عقيدة شبه رسمية تتمتع بحماية الدولة، وزاد في انتشار قوتها مدرسة بغداد النظامية، ومدرسة نيسابور النظامية، وكان يقوم عليها رواد المذهب الأشعري، كانت المدرسة النظامية في بغداد أكبر جامعة إسلامية في العالم الإسلامي وقتها، كما تبنى المذهب وعمل على نشره، المهدي بن تومرت مهدي الموحدين، ونور الدين محمود زنكي، والسلطان صلاح الدين الأيوبي، بالإضافة إلى اعتماد جمهرة من العلماء عليه، وبخاصة فقهاء الشافعية والمالكية المتأخرين، وبذلك انتشر المذهب في العالم الإسلامي كله، ولا يزال المذهب الأشعري سائدًا في أكثر البلاد الإسلامية، وله جامعاته ومعاهده المتعددة</w:t>
      </w:r>
      <w:r w:rsidRPr="00560538">
        <w:rPr>
          <w:rFonts w:cs="AL-Hotham"/>
          <w:sz w:val="18"/>
          <w:szCs w:val="18"/>
          <w:rtl/>
        </w:rPr>
        <w:t>.</w:t>
      </w:r>
    </w:p>
    <w:p w:rsidR="00676D9B" w:rsidRPr="00560538" w:rsidRDefault="00676D9B" w:rsidP="00560538">
      <w:pPr>
        <w:pStyle w:val="NormalWeb"/>
        <w:bidi/>
        <w:ind w:left="0" w:right="0"/>
        <w:jc w:val="lowKashida"/>
        <w:rPr>
          <w:rFonts w:cs="AL-Hotham"/>
          <w:sz w:val="18"/>
          <w:szCs w:val="18"/>
          <w:rtl/>
        </w:rPr>
      </w:pPr>
      <w:r w:rsidRPr="00560538">
        <w:rPr>
          <w:rFonts w:cs="AL-Hotham" w:hint="cs"/>
          <w:sz w:val="18"/>
          <w:szCs w:val="18"/>
          <w:rtl/>
        </w:rPr>
        <w:t>ويتضح مما سبق، أن الأشاعرة فرقة كلامية إسلامية تنسب إلى أبي الحسن الأشعري، في مرحلته الثانية التي خرج فيها على المعتزلة، ودعا فيها إلى التمسك بالكتاب والسنة على طريقة ابن كُلَّاب، وهي تثبت بالعقل الصفات العقلية السبع فقط لله تعالى، ألا وهي الحياة، والعلم، والقدرة، والإرادة، والسمع، والبصر، والكلام، واختلفوا في صفة البدء، أما الصفات الاختيارية، والمتعلقة بالمشيئة من الرضا، والغضب، والفرح، والمجيء، والنزول فقد نفوها، بينما يؤولون الصفات الخبرية لله تعالى، أو يفوضون معناها.</w:t>
      </w:r>
    </w:p>
    <w:p w:rsidR="00676D9B" w:rsidRPr="00560538" w:rsidRDefault="00676D9B" w:rsidP="00560538">
      <w:pPr>
        <w:pStyle w:val="NormalWeb"/>
        <w:bidi/>
        <w:ind w:left="0" w:right="0"/>
        <w:jc w:val="lowKashida"/>
        <w:rPr>
          <w:rFonts w:cs="AL-Hotham"/>
          <w:sz w:val="18"/>
          <w:szCs w:val="18"/>
          <w:rtl/>
        </w:rPr>
      </w:pPr>
      <w:r w:rsidRPr="00560538">
        <w:rPr>
          <w:rFonts w:cs="AL-Hotham" w:hint="cs"/>
          <w:sz w:val="18"/>
          <w:szCs w:val="18"/>
          <w:rtl/>
        </w:rPr>
        <w:t>ويؤمن متأخرو الأشاعرة ببعض الأفكار المحرفة عن عقيدة أهل السنة والجماعة، التي تصدى لها ولغيرها شيخ الإسلام ابن تيمية؛ لا سيما في مجال العقيدة، حيث أكد أن أسلوب القرآن والسنة وفهم السلف الصالح، هو الأسلوب اليقيني للوصول إلى حقيقة التوحيد والصفات، وغير ذلك من أمور العقيدة والدين.</w:t>
      </w:r>
    </w:p>
    <w:p w:rsidR="00676D9B" w:rsidRPr="00560538" w:rsidRDefault="00676D9B" w:rsidP="00560538">
      <w:pPr>
        <w:pStyle w:val="NormalWeb"/>
        <w:bidi/>
        <w:ind w:left="0" w:right="0"/>
        <w:jc w:val="lowKashida"/>
        <w:rPr>
          <w:rFonts w:cs="AL-Hotham"/>
          <w:sz w:val="18"/>
          <w:szCs w:val="18"/>
          <w:rtl/>
        </w:rPr>
      </w:pPr>
      <w:r w:rsidRPr="00560538">
        <w:rPr>
          <w:rFonts w:cs="AL-Hotham" w:hint="cs"/>
          <w:sz w:val="18"/>
          <w:szCs w:val="18"/>
          <w:rtl/>
        </w:rPr>
        <w:t xml:space="preserve">وعمومًا فإن عقيدة الأشاعرة تنسب إلى عقيدة أهل السنة والجماعة بالمعنى العام في مقابل الخوارج والشيعة والمعتزلة، وأن الأشاعرة، وبخاصة أشاعرة العراق الأوائل، أمثال أبي الحسن الأشعري، والباهلي، وابن مجاهد، والباقلاني وغيرهم أقرب إلى السنة والحق من الفلاسفة والمعتزلة، وبل ومن أشاعرة خراسان، كأبي بكر بن فورك وغيره، </w:t>
      </w:r>
      <w:r w:rsidRPr="00560538">
        <w:rPr>
          <w:rFonts w:cs="AL-Hotham" w:hint="cs"/>
          <w:sz w:val="18"/>
          <w:szCs w:val="18"/>
          <w:rtl/>
        </w:rPr>
        <w:lastRenderedPageBreak/>
        <w:t>وإنهم ليحمدوا في مواقفهم في الدفاع عن السنة، ودفاعهم عن الحق أيضًا في وجه الباطنية، والرافضة، والفلاسفة، فكان لهم جهدهم المحمود في هتك أسرار الباطنية، بل وكان لهم جهادهم المشكور في كسر ثورة المعتزلة، والجهمية.</w:t>
      </w:r>
    </w:p>
    <w:p w:rsidR="00676D9B" w:rsidRPr="00560538" w:rsidRDefault="00676D9B" w:rsidP="00560538">
      <w:pPr>
        <w:pStyle w:val="NormalWeb"/>
        <w:bidi/>
        <w:ind w:left="0" w:right="0"/>
        <w:jc w:val="lowKashida"/>
        <w:rPr>
          <w:rFonts w:cs="AL-Hotham"/>
          <w:sz w:val="18"/>
          <w:szCs w:val="18"/>
          <w:rtl/>
        </w:rPr>
      </w:pPr>
      <w:r w:rsidRPr="00560538">
        <w:rPr>
          <w:rFonts w:cs="AL-Hotham" w:hint="cs"/>
          <w:sz w:val="18"/>
          <w:szCs w:val="18"/>
          <w:rtl/>
        </w:rPr>
        <w:t xml:space="preserve">وعلى ذلك؛ فإن حسناتهم على نوعين -كما صرح شيخ الإسلام ابن تيمية- بذلك، إما موافقة السنة والحديث، وإما الرد على من خالف السنة والحديث، ببيان تناقض حججهم، ويقول أيضًا: "ومنهم من يذم لما وقع في كلامه من البدع والباطل، وخير الأمور أوساطها"، قال ذلك في (درء التعارض). </w:t>
      </w:r>
    </w:p>
    <w:p w:rsidR="00676D9B" w:rsidRPr="00560538" w:rsidRDefault="00676D9B" w:rsidP="00560538">
      <w:pPr>
        <w:pStyle w:val="NormalWeb"/>
        <w:bidi/>
        <w:ind w:left="0" w:right="0"/>
        <w:jc w:val="lowKashida"/>
        <w:rPr>
          <w:rFonts w:cs="AL-Hotham"/>
          <w:sz w:val="18"/>
          <w:szCs w:val="18"/>
          <w:rtl/>
        </w:rPr>
      </w:pPr>
      <w:r w:rsidRPr="00560538">
        <w:rPr>
          <w:rFonts w:cs="AL-Hotham" w:hint="cs"/>
          <w:sz w:val="18"/>
          <w:szCs w:val="18"/>
          <w:rtl/>
        </w:rPr>
        <w:t xml:space="preserve">ويقول في كتاب (النبوات): "حيث إن خطئهم بعد اجتهادهم مغفور، وأخيرًا يقول في (درء التعارض): فإن الواحد من هؤلاء له مساعٍ مشكورة في نصرة ما نصر من الإسلام، والرد على طوائف المخالفين لما جاء به الرسول </w:t>
      </w:r>
      <w:r w:rsidRPr="00560538">
        <w:rPr>
          <w:rFonts w:cs="AL-Hotham" w:hint="cs"/>
          <w:spacing w:val="20"/>
          <w:position w:val="-4"/>
          <w:sz w:val="18"/>
          <w:szCs w:val="18"/>
        </w:rPr>
        <w:sym w:font="AGA Arabesque" w:char="F065"/>
      </w:r>
      <w:r w:rsidRPr="00560538">
        <w:rPr>
          <w:rFonts w:cs="AL-Hotham" w:hint="cs"/>
          <w:spacing w:val="20"/>
          <w:sz w:val="18"/>
          <w:szCs w:val="18"/>
          <w:rtl/>
        </w:rPr>
        <w:t xml:space="preserve"> </w:t>
      </w:r>
      <w:r w:rsidRPr="00560538">
        <w:rPr>
          <w:rFonts w:cs="AL-Hotham" w:hint="cs"/>
          <w:sz w:val="18"/>
          <w:szCs w:val="18"/>
          <w:rtl/>
        </w:rPr>
        <w:t xml:space="preserve"> فحمدهم والثناء عليهم بما لهم من السعي الداخل في طاعة الله ورسوله، وإظهار العلم الصحيح، وما من أحد من هؤلاء، ومن هو أفضل منه، إلا وله غلط في مواضع". انتهى كلامه -رحمه الله. </w:t>
      </w:r>
    </w:p>
    <w:p w:rsidR="00676D9B" w:rsidRDefault="00676D9B" w:rsidP="00560538">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676D9B" w:rsidRPr="00545C45" w:rsidRDefault="00676D9B" w:rsidP="00676D9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676D9B" w:rsidRPr="00545C45" w:rsidRDefault="00676D9B" w:rsidP="00676D9B">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676D9B" w:rsidRPr="00545C45" w:rsidRDefault="00676D9B" w:rsidP="00676D9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676D9B" w:rsidRPr="00545C45" w:rsidRDefault="00676D9B" w:rsidP="00676D9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676D9B" w:rsidRPr="00545C45" w:rsidRDefault="00676D9B" w:rsidP="00676D9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676D9B" w:rsidRPr="00545C45" w:rsidRDefault="00676D9B" w:rsidP="00676D9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676D9B" w:rsidRPr="00545C45" w:rsidRDefault="00676D9B" w:rsidP="00676D9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676D9B" w:rsidRPr="00545C45" w:rsidRDefault="00676D9B" w:rsidP="00676D9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676D9B" w:rsidRPr="00545C45" w:rsidRDefault="00676D9B" w:rsidP="00676D9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676D9B" w:rsidRPr="00545C45" w:rsidRDefault="00676D9B" w:rsidP="00676D9B">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676D9B" w:rsidRPr="00545C45" w:rsidRDefault="00676D9B" w:rsidP="00676D9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676D9B" w:rsidRPr="00545C45" w:rsidRDefault="00676D9B" w:rsidP="00676D9B">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676D9B" w:rsidRPr="00545C45" w:rsidRDefault="00676D9B" w:rsidP="00676D9B">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560538" w:rsidRDefault="00560538" w:rsidP="00560538">
      <w:pPr>
        <w:tabs>
          <w:tab w:val="left" w:pos="6086"/>
        </w:tabs>
        <w:spacing w:before="60"/>
        <w:rPr>
          <w:rFonts w:asciiTheme="majorBidi" w:eastAsia="Calibri" w:hAnsiTheme="majorBidi" w:cstheme="majorBidi"/>
          <w:sz w:val="44"/>
          <w:szCs w:val="44"/>
          <w:rtl/>
        </w:rPr>
      </w:pPr>
      <w:r>
        <w:rPr>
          <w:rFonts w:asciiTheme="majorBidi" w:eastAsia="Calibri" w:hAnsiTheme="majorBidi" w:cstheme="majorBidi"/>
          <w:sz w:val="44"/>
          <w:szCs w:val="44"/>
        </w:rPr>
        <w:tab/>
      </w:r>
    </w:p>
    <w:p w:rsidR="00560538" w:rsidRDefault="00560538" w:rsidP="00560538">
      <w:pPr>
        <w:tabs>
          <w:tab w:val="left" w:pos="6086"/>
        </w:tabs>
        <w:spacing w:before="60"/>
        <w:rPr>
          <w:rFonts w:asciiTheme="majorBidi" w:eastAsia="Calibri" w:hAnsiTheme="majorBidi" w:cstheme="majorBidi"/>
          <w:sz w:val="44"/>
          <w:szCs w:val="44"/>
        </w:rPr>
        <w:sectPr w:rsidR="00560538" w:rsidSect="00560538">
          <w:type w:val="continuous"/>
          <w:pgSz w:w="11906" w:h="16838"/>
          <w:pgMar w:top="731" w:right="737" w:bottom="2432" w:left="737" w:header="709" w:footer="709" w:gutter="0"/>
          <w:cols w:num="2" w:space="710" w:equalWidth="0">
            <w:col w:w="4861" w:space="710"/>
            <w:col w:w="4861"/>
          </w:cols>
          <w:bidi/>
          <w:rtlGutter/>
          <w:docGrid w:linePitch="360"/>
        </w:sectPr>
      </w:pPr>
    </w:p>
    <w:p w:rsidR="00676D9B" w:rsidRPr="00676D9B" w:rsidRDefault="00676D9B" w:rsidP="00560538">
      <w:pPr>
        <w:tabs>
          <w:tab w:val="left" w:pos="6086"/>
        </w:tabs>
        <w:spacing w:before="60"/>
        <w:rPr>
          <w:rFonts w:asciiTheme="majorBidi" w:eastAsia="Calibri" w:hAnsiTheme="majorBidi" w:cstheme="majorBidi"/>
          <w:sz w:val="44"/>
          <w:szCs w:val="44"/>
        </w:rPr>
      </w:pPr>
    </w:p>
    <w:p w:rsidR="00676D9B" w:rsidRPr="00693A12" w:rsidRDefault="00676D9B" w:rsidP="00676D9B">
      <w:pPr>
        <w:rPr>
          <w:rFonts w:asciiTheme="majorBidi" w:eastAsia="Calibri" w:hAnsiTheme="majorBidi" w:cstheme="majorBidi"/>
          <w:sz w:val="44"/>
          <w:szCs w:val="44"/>
        </w:rPr>
      </w:pPr>
    </w:p>
    <w:p w:rsidR="00676D9B" w:rsidRPr="00693A12" w:rsidRDefault="00560538" w:rsidP="00560538">
      <w:pPr>
        <w:tabs>
          <w:tab w:val="left" w:pos="5380"/>
        </w:tabs>
        <w:rPr>
          <w:rFonts w:asciiTheme="majorBidi" w:eastAsia="Calibri" w:hAnsiTheme="majorBidi" w:cstheme="majorBidi"/>
          <w:sz w:val="44"/>
          <w:szCs w:val="44"/>
        </w:rPr>
      </w:pPr>
      <w:r>
        <w:rPr>
          <w:rFonts w:asciiTheme="majorBidi" w:eastAsia="Calibri" w:hAnsiTheme="majorBidi" w:cstheme="majorBidi"/>
          <w:sz w:val="44"/>
          <w:szCs w:val="44"/>
        </w:rPr>
        <w:tab/>
      </w:r>
    </w:p>
    <w:p w:rsidR="004219C3" w:rsidRPr="00676D9B" w:rsidRDefault="004219C3" w:rsidP="00676D9B">
      <w:pPr>
        <w:spacing w:before="60"/>
        <w:jc w:val="center"/>
        <w:rPr>
          <w:rFonts w:asciiTheme="majorBidi" w:eastAsia="Calibri" w:hAnsiTheme="majorBidi" w:cstheme="majorBidi"/>
          <w:b/>
          <w:bCs/>
          <w:sz w:val="44"/>
          <w:szCs w:val="44"/>
        </w:rPr>
      </w:pPr>
    </w:p>
    <w:sectPr w:rsidR="004219C3" w:rsidRPr="00676D9B" w:rsidSect="00560538">
      <w:type w:val="continuous"/>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L-Hotham">
    <w:altName w:val="Times New Roman"/>
    <w:charset w:val="B2"/>
    <w:family w:val="auto"/>
    <w:pitch w:val="variable"/>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76D9B"/>
    <w:rsid w:val="00011376"/>
    <w:rsid w:val="001A2769"/>
    <w:rsid w:val="003808BB"/>
    <w:rsid w:val="004168A0"/>
    <w:rsid w:val="004219C3"/>
    <w:rsid w:val="00560538"/>
    <w:rsid w:val="00676D9B"/>
    <w:rsid w:val="009C43C4"/>
    <w:rsid w:val="00F447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D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6D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76D9B"/>
    <w:pPr>
      <w:ind w:left="75" w:right="75"/>
      <w:jc w:val="both"/>
    </w:pPr>
    <w:rPr>
      <w:rFonts w:ascii="Tahoma" w:hAnsi="Tahoma" w:cs="Tahoma"/>
      <w:sz w:val="36"/>
      <w:szCs w:val="36"/>
    </w:rPr>
  </w:style>
  <w:style w:type="paragraph" w:customStyle="1" w:styleId="Affiliation">
    <w:name w:val="Affiliation"/>
    <w:rsid w:val="00676D9B"/>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676D9B"/>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676D9B"/>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5605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hmed.mahdey@mediu.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D4E85-528E-49BC-854B-1DA7C0144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Fannan</Company>
  <LinksUpToDate>false</LinksUpToDate>
  <CharactersWithSpaces>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3</cp:revision>
  <dcterms:created xsi:type="dcterms:W3CDTF">2013-06-21T20:31:00Z</dcterms:created>
  <dcterms:modified xsi:type="dcterms:W3CDTF">2013-07-03T12:19:00Z</dcterms:modified>
</cp:coreProperties>
</file>