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AC" w:rsidRDefault="004E77AC" w:rsidP="00FA0B34">
      <w:pPr>
        <w:jc w:val="center"/>
        <w:rPr>
          <w:b/>
          <w:bCs/>
          <w:sz w:val="48"/>
          <w:szCs w:val="48"/>
          <w:rtl/>
        </w:rPr>
      </w:pPr>
      <w:r w:rsidRPr="00225C25">
        <w:rPr>
          <w:b/>
          <w:bCs/>
          <w:sz w:val="48"/>
          <w:szCs w:val="48"/>
          <w:rtl/>
        </w:rPr>
        <w:t xml:space="preserve">تفسير الآيات من </w:t>
      </w:r>
      <w:r w:rsidR="00FA0B34" w:rsidRPr="00225C25">
        <w:rPr>
          <w:b/>
          <w:bCs/>
          <w:sz w:val="48"/>
          <w:szCs w:val="48"/>
          <w:rtl/>
        </w:rPr>
        <w:t>(</w:t>
      </w:r>
      <w:r w:rsidRPr="00225C25">
        <w:rPr>
          <w:b/>
          <w:bCs/>
          <w:sz w:val="48"/>
          <w:szCs w:val="48"/>
          <w:rtl/>
        </w:rPr>
        <w:t>117 – 126)</w:t>
      </w:r>
      <w:r w:rsidR="00FA0B34">
        <w:rPr>
          <w:rFonts w:hint="cs"/>
          <w:b/>
          <w:bCs/>
          <w:sz w:val="48"/>
          <w:szCs w:val="48"/>
          <w:rtl/>
        </w:rPr>
        <w:t xml:space="preserve">، </w:t>
      </w:r>
      <w:r w:rsidRPr="00225C25">
        <w:rPr>
          <w:b/>
          <w:bCs/>
          <w:sz w:val="48"/>
          <w:szCs w:val="48"/>
          <w:rtl/>
        </w:rPr>
        <w:t>وعود الشيطان وعود كاذبة</w:t>
      </w:r>
    </w:p>
    <w:p w:rsidR="004E77AC" w:rsidRPr="00350300" w:rsidRDefault="004E77AC" w:rsidP="00225C25">
      <w:pPr>
        <w:jc w:val="center"/>
        <w:rPr>
          <w:color w:val="4F81BD"/>
          <w:sz w:val="22"/>
          <w:szCs w:val="22"/>
          <w:rtl/>
          <w:lang w:bidi="ar-EG"/>
        </w:rPr>
      </w:pPr>
      <w:r w:rsidRPr="00350300">
        <w:rPr>
          <w:sz w:val="22"/>
          <w:szCs w:val="22"/>
          <w:rtl/>
        </w:rPr>
        <w:t xml:space="preserve">بحث </w:t>
      </w:r>
      <w:proofErr w:type="spellStart"/>
      <w:r w:rsidRPr="00350300">
        <w:rPr>
          <w:sz w:val="22"/>
          <w:szCs w:val="22"/>
          <w:rtl/>
        </w:rPr>
        <w:t>فى</w:t>
      </w:r>
      <w:proofErr w:type="spellEnd"/>
      <w:r w:rsidRPr="00350300">
        <w:rPr>
          <w:sz w:val="22"/>
          <w:szCs w:val="22"/>
          <w:rtl/>
        </w:rPr>
        <w:t xml:space="preserve"> علم </w:t>
      </w:r>
      <w:r w:rsidRPr="00350300">
        <w:rPr>
          <w:sz w:val="22"/>
          <w:szCs w:val="22"/>
          <w:rtl/>
          <w:lang w:bidi="ar-EG"/>
        </w:rPr>
        <w:t>التفسير</w:t>
      </w:r>
    </w:p>
    <w:p w:rsidR="004E77AC" w:rsidRPr="00350300" w:rsidRDefault="004E77AC" w:rsidP="00FA0B34">
      <w:pPr>
        <w:jc w:val="center"/>
        <w:rPr>
          <w:sz w:val="22"/>
          <w:szCs w:val="22"/>
        </w:rPr>
      </w:pPr>
      <w:r w:rsidRPr="00350300">
        <w:rPr>
          <w:sz w:val="22"/>
          <w:szCs w:val="22"/>
          <w:rtl/>
        </w:rPr>
        <w:t xml:space="preserve">إعداد / </w:t>
      </w:r>
      <w:r w:rsidR="00FA0B34" w:rsidRPr="00FA0B34">
        <w:rPr>
          <w:sz w:val="22"/>
          <w:szCs w:val="22"/>
          <w:rtl/>
          <w:lang w:bidi="ar-EG"/>
        </w:rPr>
        <w:t>عادل محمد فتحي</w:t>
      </w:r>
    </w:p>
    <w:p w:rsidR="004E77AC" w:rsidRPr="00350300" w:rsidRDefault="004E77AC" w:rsidP="00225C25">
      <w:pPr>
        <w:jc w:val="center"/>
        <w:rPr>
          <w:sz w:val="22"/>
          <w:szCs w:val="22"/>
        </w:rPr>
      </w:pPr>
      <w:r w:rsidRPr="00350300">
        <w:rPr>
          <w:sz w:val="22"/>
          <w:szCs w:val="22"/>
          <w:rtl/>
        </w:rPr>
        <w:t>قسم الدعوة وأصول الدين</w:t>
      </w:r>
    </w:p>
    <w:p w:rsidR="004E77AC" w:rsidRPr="00350300" w:rsidRDefault="004E77AC" w:rsidP="00225C25">
      <w:pPr>
        <w:jc w:val="center"/>
        <w:rPr>
          <w:sz w:val="22"/>
          <w:szCs w:val="22"/>
        </w:rPr>
      </w:pPr>
      <w:r w:rsidRPr="00350300">
        <w:rPr>
          <w:sz w:val="22"/>
          <w:szCs w:val="22"/>
          <w:rtl/>
        </w:rPr>
        <w:t>كلية العلوم الإسلامية – جامعة المدينة العالمية</w:t>
      </w:r>
    </w:p>
    <w:p w:rsidR="004E77AC" w:rsidRPr="00350300" w:rsidRDefault="004E77AC" w:rsidP="00225C25">
      <w:pPr>
        <w:jc w:val="center"/>
        <w:rPr>
          <w:sz w:val="22"/>
          <w:szCs w:val="22"/>
          <w:rtl/>
        </w:rPr>
      </w:pPr>
      <w:r w:rsidRPr="00350300">
        <w:rPr>
          <w:sz w:val="22"/>
          <w:szCs w:val="22"/>
          <w:rtl/>
        </w:rPr>
        <w:t>شاه علم - ماليزيا</w:t>
      </w:r>
    </w:p>
    <w:p w:rsidR="004E77AC" w:rsidRDefault="00FA0B34" w:rsidP="00FA0B34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FA0B34">
        <w:rPr>
          <w:b/>
          <w:bCs/>
          <w:sz w:val="18"/>
          <w:szCs w:val="18"/>
          <w:lang w:bidi="ar-EG"/>
        </w:rPr>
        <w:t>adel.mater@mediu.edu.my</w:t>
      </w:r>
    </w:p>
    <w:p w:rsidR="004E77AC" w:rsidRPr="00426F7E" w:rsidRDefault="004E77AC" w:rsidP="00225C25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4E77AC" w:rsidRDefault="004E77AC" w:rsidP="00225C25">
      <w:pPr>
        <w:jc w:val="center"/>
        <w:rPr>
          <w:b/>
          <w:bCs/>
          <w:sz w:val="18"/>
          <w:szCs w:val="18"/>
        </w:rPr>
        <w:sectPr w:rsidR="004E77AC" w:rsidSect="00225C25">
          <w:pgSz w:w="11906" w:h="16838"/>
          <w:pgMar w:top="568" w:right="424" w:bottom="709" w:left="851" w:header="708" w:footer="708" w:gutter="0"/>
          <w:cols w:space="708"/>
          <w:bidi/>
          <w:rtlGutter/>
          <w:docGrid w:linePitch="360"/>
        </w:sectPr>
      </w:pPr>
    </w:p>
    <w:p w:rsidR="004E77AC" w:rsidRPr="00225C25" w:rsidRDefault="004E77AC" w:rsidP="000A6C5A">
      <w:pPr>
        <w:rPr>
          <w:b/>
          <w:bCs/>
          <w:sz w:val="18"/>
          <w:szCs w:val="18"/>
          <w:rtl/>
        </w:rPr>
      </w:pPr>
      <w:r w:rsidRPr="00225C25">
        <w:rPr>
          <w:b/>
          <w:bCs/>
          <w:sz w:val="18"/>
          <w:szCs w:val="18"/>
          <w:rtl/>
        </w:rPr>
        <w:lastRenderedPageBreak/>
        <w:t xml:space="preserve">الخلاصة – هذا البحث يبحث </w:t>
      </w:r>
      <w:proofErr w:type="spellStart"/>
      <w:r w:rsidRPr="00225C25">
        <w:rPr>
          <w:b/>
          <w:bCs/>
          <w:sz w:val="18"/>
          <w:szCs w:val="18"/>
          <w:rtl/>
        </w:rPr>
        <w:t>فى</w:t>
      </w:r>
      <w:proofErr w:type="spellEnd"/>
      <w:r w:rsidRPr="00225C25">
        <w:rPr>
          <w:b/>
          <w:bCs/>
          <w:sz w:val="18"/>
          <w:szCs w:val="18"/>
          <w:rtl/>
        </w:rPr>
        <w:t xml:space="preserve"> وعود الشيطان وعود كاذبة</w:t>
      </w:r>
    </w:p>
    <w:p w:rsidR="004E77AC" w:rsidRPr="00225C25" w:rsidRDefault="004E77AC" w:rsidP="00225C25">
      <w:pPr>
        <w:rPr>
          <w:b/>
          <w:bCs/>
          <w:sz w:val="18"/>
          <w:szCs w:val="18"/>
          <w:rtl/>
        </w:rPr>
      </w:pPr>
    </w:p>
    <w:p w:rsidR="004E77AC" w:rsidRPr="00225C25" w:rsidRDefault="004E77AC" w:rsidP="00225C25">
      <w:pPr>
        <w:spacing w:before="60"/>
        <w:rPr>
          <w:b/>
          <w:bCs/>
          <w:sz w:val="18"/>
          <w:szCs w:val="18"/>
          <w:rtl/>
        </w:rPr>
      </w:pPr>
      <w:r w:rsidRPr="00225C25">
        <w:rPr>
          <w:b/>
          <w:bCs/>
          <w:sz w:val="18"/>
          <w:szCs w:val="18"/>
          <w:rtl/>
        </w:rPr>
        <w:t xml:space="preserve">الكلمات </w:t>
      </w:r>
      <w:proofErr w:type="spellStart"/>
      <w:r w:rsidRPr="00225C25">
        <w:rPr>
          <w:b/>
          <w:bCs/>
          <w:sz w:val="18"/>
          <w:szCs w:val="18"/>
          <w:rtl/>
        </w:rPr>
        <w:t>المفتاحية</w:t>
      </w:r>
      <w:proofErr w:type="spellEnd"/>
      <w:r w:rsidRPr="00225C25">
        <w:rPr>
          <w:b/>
          <w:bCs/>
          <w:sz w:val="18"/>
          <w:szCs w:val="18"/>
          <w:rtl/>
        </w:rPr>
        <w:t xml:space="preserve"> – الشيطان، وعود ، </w:t>
      </w:r>
      <w:proofErr w:type="spellStart"/>
      <w:r w:rsidRPr="00225C25">
        <w:rPr>
          <w:b/>
          <w:bCs/>
          <w:sz w:val="18"/>
          <w:szCs w:val="18"/>
          <w:rtl/>
        </w:rPr>
        <w:t>كاذبه</w:t>
      </w:r>
      <w:proofErr w:type="spellEnd"/>
    </w:p>
    <w:p w:rsidR="004E77AC" w:rsidRPr="00225C25" w:rsidRDefault="004E77AC" w:rsidP="00225C25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225C25">
        <w:rPr>
          <w:b/>
          <w:bCs/>
          <w:sz w:val="18"/>
          <w:szCs w:val="18"/>
          <w:rtl/>
        </w:rPr>
        <w:t>.المقدمة</w:t>
      </w:r>
    </w:p>
    <w:p w:rsidR="004E77AC" w:rsidRPr="00225C25" w:rsidRDefault="004E77AC" w:rsidP="00225C25">
      <w:pPr>
        <w:jc w:val="center"/>
        <w:rPr>
          <w:b/>
          <w:bCs/>
          <w:sz w:val="18"/>
          <w:szCs w:val="18"/>
          <w:rtl/>
        </w:rPr>
      </w:pPr>
      <w:r w:rsidRPr="00225C25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وعود الشيطان وعود كاذبة</w:t>
      </w:r>
    </w:p>
    <w:p w:rsidR="004E77AC" w:rsidRPr="00225C25" w:rsidRDefault="004E77AC" w:rsidP="00225C25">
      <w:pPr>
        <w:spacing w:before="60"/>
        <w:rPr>
          <w:b/>
          <w:bCs/>
          <w:sz w:val="18"/>
          <w:szCs w:val="18"/>
          <w:rtl/>
        </w:rPr>
      </w:pPr>
    </w:p>
    <w:p w:rsidR="004E77AC" w:rsidRPr="00225C25" w:rsidRDefault="004E77AC" w:rsidP="00225C25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225C25">
        <w:rPr>
          <w:b/>
          <w:bCs/>
          <w:sz w:val="18"/>
          <w:szCs w:val="18"/>
          <w:rtl/>
        </w:rPr>
        <w:t>.عنوان المقال</w:t>
      </w:r>
    </w:p>
    <w:p w:rsidR="004E77AC" w:rsidRPr="000A6C5A" w:rsidRDefault="004E77AC" w:rsidP="00225C2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225C2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25C25">
        <w:rPr>
          <w:rFonts w:ascii="QCF_P097" w:hAnsi="QCF_P097" w:cs="QCF_P097"/>
          <w:b/>
          <w:bCs/>
          <w:sz w:val="18"/>
          <w:szCs w:val="18"/>
          <w:rtl/>
        </w:rPr>
        <w:t>ﯫ ﯬ ﯭ ﯮ ﯯ</w:t>
      </w:r>
      <w:r w:rsidRPr="00225C25">
        <w:rPr>
          <w:rFonts w:ascii="QCF_P097" w:hAnsi="QCF_P097" w:cs="DecoType Thuluth"/>
          <w:b/>
          <w:bCs/>
          <w:sz w:val="18"/>
          <w:szCs w:val="18"/>
          <w:rtl/>
        </w:rPr>
        <w:t>}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>: 120].</w:t>
      </w:r>
    </w:p>
    <w:p w:rsidR="004E77AC" w:rsidRPr="000A6C5A" w:rsidRDefault="004E77AC" w:rsidP="00225C2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وعود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الحقيقة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تغرير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بأتباعه،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وصرف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العمل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الصالح،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والإيمان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الصحيح،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والخير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العزة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والسعادة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والأمن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وجنات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النعيم،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غرر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هؤلاء،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وضحك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عليهم،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وتلاعب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بهم،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وماذا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ينتظر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عدو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لئيم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ماكر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غادر،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يحب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الإنسان،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يتمنى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إهلاكه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بأي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وسيلة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الوسائل،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25C2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25C25">
        <w:rPr>
          <w:rFonts w:ascii="QCF_P097" w:hAnsi="QCF_P097" w:cs="QCF_P097"/>
          <w:b/>
          <w:bCs/>
          <w:sz w:val="18"/>
          <w:szCs w:val="18"/>
          <w:rtl/>
        </w:rPr>
        <w:t>ﯫ ﯬ ﯭ</w:t>
      </w:r>
      <w:r w:rsidRPr="00225C25">
        <w:rPr>
          <w:rFonts w:ascii="QCF_P097" w:hAnsi="QCF_P097" w:cs="DecoType Thuluth"/>
          <w:b/>
          <w:bCs/>
          <w:sz w:val="18"/>
          <w:szCs w:val="18"/>
          <w:rtl/>
        </w:rPr>
        <w:t>}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25C2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25C25">
        <w:rPr>
          <w:rFonts w:ascii="QCF_P097" w:hAnsi="QCF_P097" w:cs="QCF_P097"/>
          <w:b/>
          <w:bCs/>
          <w:sz w:val="18"/>
          <w:szCs w:val="18"/>
          <w:rtl/>
        </w:rPr>
        <w:t>ﯮ ﯯ</w:t>
      </w:r>
      <w:r w:rsidRPr="00225C25">
        <w:rPr>
          <w:rFonts w:ascii="QCF_P097" w:hAnsi="QCF_P097" w:cs="DecoType Thuluth"/>
          <w:b/>
          <w:bCs/>
          <w:sz w:val="18"/>
          <w:szCs w:val="18"/>
          <w:rtl/>
        </w:rPr>
        <w:t>}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باطلًا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يغرهم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ويصرفهم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الخير؛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نجد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يحذر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آياته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4E77AC" w:rsidRPr="000A6C5A" w:rsidRDefault="004E77AC" w:rsidP="00225C25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مصير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أتباع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جهنم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4E77AC" w:rsidRPr="000A6C5A" w:rsidRDefault="004E77AC" w:rsidP="00225C2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25C2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25C25">
        <w:rPr>
          <w:rFonts w:ascii="QCF_P097" w:hAnsi="QCF_P097" w:cs="QCF_P097"/>
          <w:b/>
          <w:bCs/>
          <w:sz w:val="18"/>
          <w:szCs w:val="18"/>
          <w:rtl/>
        </w:rPr>
        <w:t>ﯱ ﯲ ﯳ</w:t>
      </w:r>
      <w:r w:rsidRPr="00225C25">
        <w:rPr>
          <w:rFonts w:ascii="QCF_P097" w:hAnsi="QCF_P097" w:cs="DecoType Thuluth"/>
          <w:b/>
          <w:bCs/>
          <w:sz w:val="18"/>
          <w:szCs w:val="18"/>
          <w:rtl/>
        </w:rPr>
        <w:t>}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25C2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25C25">
        <w:rPr>
          <w:rFonts w:ascii="QCF_P097" w:hAnsi="QCF_P097" w:cs="QCF_P097"/>
          <w:b/>
          <w:bCs/>
          <w:sz w:val="18"/>
          <w:szCs w:val="18"/>
          <w:rtl/>
        </w:rPr>
        <w:t>ﯱ</w:t>
      </w:r>
      <w:r w:rsidRPr="00225C25">
        <w:rPr>
          <w:rFonts w:ascii="QCF_P097" w:hAnsi="QCF_P097" w:cs="DecoType Thuluth"/>
          <w:b/>
          <w:bCs/>
          <w:sz w:val="18"/>
          <w:szCs w:val="18"/>
          <w:rtl/>
        </w:rPr>
        <w:t>}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اسم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إشارة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للبعيد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تدل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مقام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الشر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والمعصية،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وولاية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الشيطان،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أولئك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وصلوا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وصلوا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إليه،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فساد،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ضلال،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اتباع</w:t>
      </w:r>
      <w:proofErr w:type="spellEnd"/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للشيطان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مأواهم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جهنم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225C2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25C25">
        <w:rPr>
          <w:rFonts w:ascii="QCF_P097" w:hAnsi="QCF_P097" w:cs="QCF_P097"/>
          <w:b/>
          <w:bCs/>
          <w:sz w:val="18"/>
          <w:szCs w:val="18"/>
          <w:rtl/>
        </w:rPr>
        <w:t>ﯲ ﯳ</w:t>
      </w:r>
      <w:r w:rsidRPr="00225C25">
        <w:rPr>
          <w:rFonts w:ascii="QCF_P097" w:hAnsi="QCF_P097" w:cs="DecoType Thuluth"/>
          <w:b/>
          <w:bCs/>
          <w:sz w:val="18"/>
          <w:szCs w:val="18"/>
          <w:rtl/>
        </w:rPr>
        <w:t>}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الكلمة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تحمل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التخويف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والترهيب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الشيء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الكثير؛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فالمأوى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المكان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تأوي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إليه،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تجد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راحتك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وأمنك،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يقيك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حرارة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الشمس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ولفح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الزمهرير،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تطمئن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وتركن،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وتحتجب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عيون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الآخرين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المأوى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وبئس</w:t>
      </w:r>
      <w:proofErr w:type="spellEnd"/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القرار،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جهنم،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تعظم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البلية؛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المكان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وصلت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إليه،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وأويت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إليه،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وأصبحت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يحيط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بك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جانب،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مكان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استقرار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وهدوء،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وراحة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بال،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وأمن،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وسعادة،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ومتعة،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مكان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البلاء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يخطر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بال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ويكفي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تقف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25C2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25C25">
        <w:rPr>
          <w:rFonts w:ascii="QCF_P097" w:hAnsi="QCF_P097" w:cs="QCF_P097"/>
          <w:b/>
          <w:bCs/>
          <w:sz w:val="18"/>
          <w:szCs w:val="18"/>
          <w:rtl/>
        </w:rPr>
        <w:t>ﯳ</w:t>
      </w:r>
      <w:r w:rsidRPr="00225C25">
        <w:rPr>
          <w:rFonts w:ascii="QCF_P097" w:hAnsi="QCF_P097" w:cs="DecoType Thuluth"/>
          <w:b/>
          <w:bCs/>
          <w:sz w:val="18"/>
          <w:szCs w:val="18"/>
          <w:rtl/>
        </w:rPr>
        <w:t>}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لتعلم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جهنم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وصف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أوصاف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عجيب؛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لأنها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تعني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النار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المشتعلة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شديدة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الاشتعال،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بئر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عميق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يعرف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قرار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ولعلك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استمعت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بعض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25C25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أن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الحجر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يلقى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شفير</w:t>
      </w:r>
      <w:proofErr w:type="spellEnd"/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جهنم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يصل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قاعها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وقعرها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سبعين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سنة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المقصود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بالسبعين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العدد،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معناه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قعرها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بعيد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البعد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المكان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السحيق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البعيد،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الملتهب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المشتعل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بالنيران،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مأوى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4E77AC" w:rsidRPr="000A6C5A" w:rsidRDefault="004E77AC" w:rsidP="00225C25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225C2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25C25">
        <w:rPr>
          <w:rFonts w:ascii="QCF_P097" w:hAnsi="QCF_P097" w:cs="QCF_P097"/>
          <w:b/>
          <w:bCs/>
          <w:sz w:val="18"/>
          <w:szCs w:val="18"/>
          <w:rtl/>
        </w:rPr>
        <w:t>ﯴ ﯵ ﯶ ﯷ</w:t>
      </w:r>
      <w:r w:rsidRPr="00225C25">
        <w:rPr>
          <w:rFonts w:ascii="QCF_P097" w:hAnsi="QCF_P097" w:cs="DecoType Thuluth"/>
          <w:b/>
          <w:bCs/>
          <w:sz w:val="18"/>
          <w:szCs w:val="18"/>
          <w:rtl/>
        </w:rPr>
        <w:t>}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الخروج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جهنم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بأي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حلية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الحيل،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بأي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وسيلة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الوسائل،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فأين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المهرب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النار؟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225C25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صدَر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أمره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خالدون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أبد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الآبدين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225C25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225C25">
        <w:rPr>
          <w:rFonts w:ascii="QCF_P495" w:hAnsi="QCF_P495" w:cs="QCF_P495"/>
          <w:b/>
          <w:bCs/>
          <w:sz w:val="18"/>
          <w:szCs w:val="18"/>
          <w:rtl/>
        </w:rPr>
        <w:t>ﭑ ﭒ ﭓ ﭔ ﭕ ﭖ ﭗﭘ ﭙ ﭚ ﭛ ﭜ ﭝ ﭞﭟ ﭠ ﭡ ﭢ ﭣ ﭤ</w:t>
      </w:r>
      <w:r w:rsidRPr="00225C25">
        <w:rPr>
          <w:rFonts w:ascii="QCF_P495" w:hAnsi="QCF_P495" w:cs="DecoType Thuluth"/>
          <w:b/>
          <w:bCs/>
          <w:sz w:val="18"/>
          <w:szCs w:val="18"/>
          <w:rtl/>
        </w:rPr>
        <w:t>}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الزخرف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>: 75</w:t>
      </w:r>
      <w:r w:rsidRPr="000A6C5A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0A6C5A">
        <w:rPr>
          <w:rFonts w:ascii="Lotus Linotype" w:hAnsi="Lotus Linotype"/>
          <w:b/>
          <w:bCs/>
          <w:sz w:val="18"/>
          <w:szCs w:val="18"/>
          <w:rtl/>
        </w:rPr>
        <w:t xml:space="preserve"> 76].</w:t>
      </w:r>
    </w:p>
    <w:p w:rsidR="004E77AC" w:rsidRDefault="004E77AC" w:rsidP="000A6C5A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4E77AC" w:rsidRDefault="004E77AC" w:rsidP="000A6C5A">
      <w:pPr>
        <w:jc w:val="center"/>
        <w:rPr>
          <w:b/>
          <w:bCs/>
          <w:sz w:val="18"/>
          <w:szCs w:val="18"/>
          <w:rtl/>
        </w:rPr>
      </w:pPr>
    </w:p>
    <w:p w:rsidR="004E77AC" w:rsidRDefault="004E77AC" w:rsidP="000A6C5A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ابن كثير، عماد الدين أبو الفداء إسماعيل بن كثير القرشي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  <w:rtl/>
        </w:rPr>
        <w:t>الدمشقي ، (تفسير القرآن العظيم) دار الراية للنشر والتوزيع، 1993م.</w:t>
      </w:r>
    </w:p>
    <w:p w:rsidR="004E77AC" w:rsidRDefault="004E77AC" w:rsidP="000A6C5A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 xml:space="preserve">، محمد بن علي </w:t>
      </w: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>، (فتح القدير الجامع بين فني الرواية والدراية من علم التفسير)  دار الكتاب العربي، 1999م.</w:t>
      </w:r>
    </w:p>
    <w:p w:rsidR="004E77AC" w:rsidRDefault="004E77AC" w:rsidP="000A6C5A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 xml:space="preserve">، محمد الأمين بن محمد </w:t>
      </w: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>، (أضواء البيان في إيضاح القرآن بالقرآن)  بيروت، دار الفكر، 1995م.</w:t>
      </w:r>
    </w:p>
    <w:p w:rsidR="004E77AC" w:rsidRDefault="00A63978" w:rsidP="000A6C5A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hyperlink r:id="rId5" w:history="1">
        <w:r w:rsidR="004E77AC">
          <w:rPr>
            <w:rStyle w:val="1Char"/>
            <w:b/>
            <w:bCs/>
            <w:sz w:val="18"/>
            <w:szCs w:val="18"/>
            <w:rtl/>
          </w:rPr>
          <w:t xml:space="preserve">أبو السعود محمد بن </w:t>
        </w:r>
        <w:proofErr w:type="spellStart"/>
        <w:r w:rsidR="004E77AC">
          <w:rPr>
            <w:rStyle w:val="1Char"/>
            <w:b/>
            <w:bCs/>
            <w:sz w:val="18"/>
            <w:szCs w:val="18"/>
            <w:rtl/>
          </w:rPr>
          <w:t>العمادي</w:t>
        </w:r>
        <w:proofErr w:type="spellEnd"/>
        <w:r w:rsidR="004E77AC">
          <w:rPr>
            <w:rStyle w:val="1Char"/>
            <w:b/>
            <w:bCs/>
            <w:sz w:val="18"/>
            <w:szCs w:val="18"/>
            <w:rtl/>
          </w:rPr>
          <w:t xml:space="preserve"> الحنفي</w:t>
        </w:r>
      </w:hyperlink>
      <w:r w:rsidR="004E77AC">
        <w:rPr>
          <w:b/>
          <w:bCs/>
          <w:sz w:val="18"/>
          <w:szCs w:val="18"/>
          <w:rtl/>
        </w:rPr>
        <w:t>،</w:t>
      </w:r>
      <w:r w:rsidR="004E77AC">
        <w:rPr>
          <w:b/>
          <w:bCs/>
          <w:sz w:val="18"/>
          <w:szCs w:val="18"/>
          <w:rtl/>
          <w:lang w:bidi="ar-EG"/>
        </w:rPr>
        <w:t xml:space="preserve"> </w:t>
      </w:r>
      <w:r w:rsidR="004E77AC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4E77AC" w:rsidRDefault="004E77AC" w:rsidP="000A6C5A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الأندلسي، أبو حيان الأندلسي، (البحر المحيط)  دار الكتب العلمية، 2001م.</w:t>
      </w:r>
    </w:p>
    <w:p w:rsidR="004E77AC" w:rsidRDefault="004E77AC" w:rsidP="000A6C5A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أبو الطيب صديق بن حسن بن علي الحسين </w:t>
      </w:r>
      <w:proofErr w:type="spellStart"/>
      <w:r>
        <w:rPr>
          <w:b/>
          <w:bCs/>
          <w:sz w:val="18"/>
          <w:szCs w:val="18"/>
          <w:rtl/>
        </w:rPr>
        <w:t>القنوجي</w:t>
      </w:r>
      <w:proofErr w:type="spellEnd"/>
      <w:r>
        <w:rPr>
          <w:b/>
          <w:bCs/>
          <w:sz w:val="18"/>
          <w:szCs w:val="18"/>
          <w:rtl/>
        </w:rPr>
        <w:t xml:space="preserve"> البخاري، (فتح البيان في مقاصد القرآن)  راجعه: عبد الله بن إبراهيم الأنصاري، إدارة </w:t>
      </w:r>
      <w:proofErr w:type="spellStart"/>
      <w:r>
        <w:rPr>
          <w:b/>
          <w:bCs/>
          <w:sz w:val="18"/>
          <w:szCs w:val="18"/>
          <w:rtl/>
        </w:rPr>
        <w:t>احياء</w:t>
      </w:r>
      <w:proofErr w:type="spellEnd"/>
      <w:r>
        <w:rPr>
          <w:b/>
          <w:bCs/>
          <w:sz w:val="18"/>
          <w:szCs w:val="18"/>
          <w:rtl/>
        </w:rPr>
        <w:t xml:space="preserve"> التراث الإسلامي، 1989م</w:t>
      </w:r>
    </w:p>
    <w:p w:rsidR="004E77AC" w:rsidRDefault="004E77AC" w:rsidP="000A6C5A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أبو القاسم محمود بن عمرو بن أحمد </w:t>
      </w:r>
      <w:proofErr w:type="spellStart"/>
      <w:r>
        <w:rPr>
          <w:b/>
          <w:bCs/>
          <w:sz w:val="18"/>
          <w:szCs w:val="18"/>
          <w:rtl/>
        </w:rPr>
        <w:t>الزمخشري</w:t>
      </w:r>
      <w:proofErr w:type="spellEnd"/>
      <w:r>
        <w:rPr>
          <w:b/>
          <w:bCs/>
          <w:sz w:val="18"/>
          <w:szCs w:val="18"/>
          <w:rtl/>
        </w:rPr>
        <w:t>، (الكشاف)  دار الكتب العلمية، 2003م</w:t>
      </w:r>
    </w:p>
    <w:p w:rsidR="004E77AC" w:rsidRDefault="004E77AC" w:rsidP="000A6C5A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أبو جعفر محمد بن جرير الطبري، (جامع البيان في تأويل القرآن) </w:t>
      </w:r>
      <w:r>
        <w:rPr>
          <w:rStyle w:val="a4"/>
          <w:sz w:val="18"/>
          <w:szCs w:val="18"/>
          <w:rtl/>
        </w:rPr>
        <w:t>تفسير الطبري</w:t>
      </w:r>
      <w:r>
        <w:rPr>
          <w:b/>
          <w:bCs/>
          <w:sz w:val="18"/>
          <w:szCs w:val="18"/>
          <w:rtl/>
        </w:rPr>
        <w:t>، دار الكتب العلمية، 1997م</w:t>
      </w:r>
    </w:p>
    <w:p w:rsidR="004E77AC" w:rsidRDefault="004E77AC" w:rsidP="000A6C5A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 xml:space="preserve">، شهاب الدين محمود بن </w:t>
      </w:r>
      <w:proofErr w:type="spellStart"/>
      <w:r>
        <w:rPr>
          <w:b/>
          <w:bCs/>
          <w:sz w:val="18"/>
          <w:szCs w:val="18"/>
          <w:rtl/>
        </w:rPr>
        <w:t>عبدالله</w:t>
      </w:r>
      <w:proofErr w:type="spellEnd"/>
      <w:r>
        <w:rPr>
          <w:b/>
          <w:bCs/>
          <w:sz w:val="18"/>
          <w:szCs w:val="18"/>
          <w:rtl/>
        </w:rPr>
        <w:t xml:space="preserve">  الحسيني </w:t>
      </w: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>, (روح المعاني)  دار الكتب العلمية، 2001م</w:t>
      </w:r>
    </w:p>
    <w:p w:rsidR="004E77AC" w:rsidRDefault="004E77AC" w:rsidP="000A6C5A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الجزائري، أبو بكر جابر بن موسى الجزائري، (أيسر التفاسير لكلام العلي الكبير)  مكتبة العلوم والحكم، 1994م</w:t>
      </w:r>
    </w:p>
    <w:p w:rsidR="004E77AC" w:rsidRDefault="004E77AC" w:rsidP="000A6C5A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عبد الرحمن بن ناصر السعدي، (تفسير الكريم الرحمن في تفسير كلام المنان)  دار ابن </w:t>
      </w:r>
      <w:proofErr w:type="spellStart"/>
      <w:r>
        <w:rPr>
          <w:b/>
          <w:bCs/>
          <w:sz w:val="18"/>
          <w:szCs w:val="18"/>
          <w:rtl/>
        </w:rPr>
        <w:t>الجوزي</w:t>
      </w:r>
      <w:proofErr w:type="spellEnd"/>
      <w:r>
        <w:rPr>
          <w:b/>
          <w:bCs/>
          <w:sz w:val="18"/>
          <w:szCs w:val="18"/>
          <w:rtl/>
        </w:rPr>
        <w:t>، 1994م</w:t>
      </w:r>
    </w:p>
    <w:p w:rsidR="004E77AC" w:rsidRPr="00225C25" w:rsidRDefault="004E77AC" w:rsidP="000A6C5A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الغرناطي، أبو محمد عبد الحق بن غالب بن عطية الأندلسي الغرناطي، (المحرر الوجيز في تفسير الكتاب العزيز) لبنان، دار الكتب العلمية، 1993م.</w:t>
      </w:r>
    </w:p>
    <w:p w:rsidR="004E77AC" w:rsidRDefault="004E77AC" w:rsidP="00225C25">
      <w:pPr>
        <w:jc w:val="center"/>
        <w:rPr>
          <w:b/>
          <w:bCs/>
          <w:sz w:val="48"/>
          <w:szCs w:val="48"/>
          <w:rtl/>
        </w:rPr>
        <w:sectPr w:rsidR="004E77AC" w:rsidSect="00225C25">
          <w:type w:val="continuous"/>
          <w:pgSz w:w="11906" w:h="16838"/>
          <w:pgMar w:top="568" w:right="424" w:bottom="709" w:left="851" w:header="708" w:footer="708" w:gutter="0"/>
          <w:cols w:num="2" w:space="708"/>
          <w:bidi/>
          <w:rtlGutter/>
          <w:docGrid w:linePitch="360"/>
        </w:sectPr>
      </w:pPr>
    </w:p>
    <w:p w:rsidR="004E77AC" w:rsidRPr="00225C25" w:rsidRDefault="004E77AC" w:rsidP="00225C25">
      <w:pPr>
        <w:jc w:val="center"/>
        <w:rPr>
          <w:b/>
          <w:bCs/>
          <w:sz w:val="48"/>
          <w:szCs w:val="48"/>
        </w:rPr>
      </w:pPr>
    </w:p>
    <w:sectPr w:rsidR="004E77AC" w:rsidRPr="00225C25" w:rsidSect="00225C25">
      <w:type w:val="continuous"/>
      <w:pgSz w:w="11906" w:h="16838"/>
      <w:pgMar w:top="568" w:right="424" w:bottom="709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49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C25"/>
    <w:rsid w:val="000A6C5A"/>
    <w:rsid w:val="00225C25"/>
    <w:rsid w:val="00350300"/>
    <w:rsid w:val="004168A0"/>
    <w:rsid w:val="00426F7E"/>
    <w:rsid w:val="004E77AC"/>
    <w:rsid w:val="006F7B21"/>
    <w:rsid w:val="008230F6"/>
    <w:rsid w:val="00A63978"/>
    <w:rsid w:val="00C73D77"/>
    <w:rsid w:val="00DE0243"/>
    <w:rsid w:val="00FA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25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225C25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225C25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225C25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225C25"/>
    <w:rPr>
      <w:rFonts w:cs="Times New Roman"/>
      <w:b/>
      <w:bCs/>
    </w:rPr>
  </w:style>
  <w:style w:type="character" w:styleId="Hyperlink">
    <w:name w:val="Hyperlink"/>
    <w:basedOn w:val="a0"/>
    <w:uiPriority w:val="99"/>
    <w:rsid w:val="00225C2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85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bwafan.com/browse/entity.asp?id=13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3052</Characters>
  <Application>Microsoft Office Word</Application>
  <DocSecurity>0</DocSecurity>
  <Lines>25</Lines>
  <Paragraphs>7</Paragraphs>
  <ScaleCrop>false</ScaleCrop>
  <Company>Fannan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4</cp:revision>
  <dcterms:created xsi:type="dcterms:W3CDTF">2013-06-13T08:47:00Z</dcterms:created>
  <dcterms:modified xsi:type="dcterms:W3CDTF">2013-06-25T09:21:00Z</dcterms:modified>
</cp:coreProperties>
</file>