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54" w:rsidRDefault="00D80054" w:rsidP="00D80054">
      <w:pPr>
        <w:jc w:val="center"/>
        <w:rPr>
          <w:rFonts w:asciiTheme="majorBidi" w:eastAsia="Calibri" w:hAnsiTheme="majorBidi" w:cstheme="majorBidi"/>
          <w:b/>
          <w:bCs/>
          <w:sz w:val="44"/>
          <w:szCs w:val="44"/>
          <w:rtl/>
        </w:rPr>
      </w:pPr>
      <w:r w:rsidRPr="00D80054">
        <w:rPr>
          <w:rFonts w:asciiTheme="majorBidi" w:eastAsia="Calibri" w:hAnsiTheme="majorBidi" w:cstheme="majorBidi"/>
          <w:b/>
          <w:bCs/>
          <w:sz w:val="44"/>
          <w:szCs w:val="44"/>
          <w:rtl/>
        </w:rPr>
        <w:t>معاني إحصاء أسماء الله الحسنى</w:t>
      </w:r>
    </w:p>
    <w:p w:rsidR="00D80054" w:rsidRDefault="00D80054" w:rsidP="00D80054">
      <w:pPr>
        <w:jc w:val="center"/>
        <w:rPr>
          <w:rFonts w:asciiTheme="majorBidi" w:hAnsiTheme="majorBidi" w:cstheme="majorBidi" w:hint="cs"/>
          <w:b/>
          <w:bCs/>
          <w:i/>
          <w:iCs/>
          <w:sz w:val="28"/>
          <w:szCs w:val="28"/>
          <w:rtl/>
        </w:rPr>
      </w:pPr>
      <w:r w:rsidRPr="001C03C9">
        <w:rPr>
          <w:rFonts w:asciiTheme="majorBidi" w:hAnsiTheme="majorBidi" w:cstheme="majorBidi" w:hint="cs"/>
          <w:b/>
          <w:bCs/>
          <w:i/>
          <w:iCs/>
          <w:sz w:val="28"/>
          <w:szCs w:val="28"/>
          <w:rtl/>
        </w:rPr>
        <w:t>بحث فى : توحيد الصفات</w:t>
      </w:r>
    </w:p>
    <w:p w:rsidR="00DF37F5" w:rsidRPr="001C03C9" w:rsidRDefault="00DF37F5" w:rsidP="00D80054">
      <w:pPr>
        <w:jc w:val="center"/>
        <w:rPr>
          <w:rFonts w:asciiTheme="majorBidi" w:eastAsia="Calibri" w:hAnsiTheme="majorBidi" w:cstheme="majorBidi"/>
          <w:b/>
          <w:bCs/>
          <w:i/>
          <w:iCs/>
          <w:color w:val="4F81BD"/>
          <w:sz w:val="28"/>
          <w:szCs w:val="28"/>
          <w:rtl/>
          <w:lang w:bidi="ar-EG"/>
        </w:rPr>
      </w:pPr>
    </w:p>
    <w:p w:rsidR="00D80054" w:rsidRPr="00DF37F5" w:rsidRDefault="00D80054" w:rsidP="00DF37F5">
      <w:pPr>
        <w:pStyle w:val="Author"/>
        <w:tabs>
          <w:tab w:val="left" w:pos="4366"/>
          <w:tab w:val="center" w:pos="5244"/>
        </w:tabs>
        <w:bidi/>
        <w:spacing w:before="0" w:after="0"/>
        <w:jc w:val="left"/>
        <w:rPr>
          <w:rFonts w:asciiTheme="majorBidi" w:hAnsiTheme="majorBidi" w:cstheme="majorBidi"/>
          <w:i/>
          <w:iCs/>
          <w:sz w:val="28"/>
          <w:szCs w:val="28"/>
          <w:lang w:eastAsia="zh-CN"/>
        </w:rPr>
      </w:pPr>
      <w:r w:rsidRPr="001C03C9">
        <w:rPr>
          <w:rFonts w:asciiTheme="majorBidi" w:hAnsiTheme="majorBidi" w:cstheme="majorBidi"/>
          <w:b/>
          <w:bCs/>
          <w:i/>
          <w:iCs/>
          <w:sz w:val="28"/>
          <w:szCs w:val="28"/>
          <w:rtl/>
        </w:rPr>
        <w:tab/>
      </w:r>
      <w:r w:rsidRPr="00DF37F5">
        <w:rPr>
          <w:rFonts w:asciiTheme="majorBidi" w:hAnsiTheme="majorBidi" w:cstheme="majorBidi"/>
          <w:i/>
          <w:iCs/>
          <w:sz w:val="28"/>
          <w:szCs w:val="28"/>
          <w:rtl/>
          <w:lang w:eastAsia="zh-CN"/>
        </w:rPr>
        <w:tab/>
        <w:t>إعداد /</w:t>
      </w:r>
      <w:r w:rsidR="00DF37F5" w:rsidRPr="00DF37F5">
        <w:rPr>
          <w:rFonts w:asciiTheme="majorBidi" w:hAnsiTheme="majorBidi" w:cstheme="majorBidi"/>
          <w:i/>
          <w:iCs/>
          <w:sz w:val="28"/>
          <w:szCs w:val="28"/>
          <w:rtl/>
          <w:lang w:eastAsia="zh-CN"/>
        </w:rPr>
        <w:t xml:space="preserve"> شيماء عبد المجيد زهران</w:t>
      </w:r>
      <w:r w:rsidR="00DF37F5" w:rsidRPr="00DF37F5">
        <w:rPr>
          <w:rFonts w:asciiTheme="majorBidi" w:hAnsiTheme="majorBidi" w:cstheme="majorBidi" w:hint="cs"/>
          <w:i/>
          <w:iCs/>
          <w:sz w:val="28"/>
          <w:szCs w:val="28"/>
          <w:rtl/>
          <w:lang w:eastAsia="zh-CN"/>
        </w:rPr>
        <w:t xml:space="preserve">  </w:t>
      </w:r>
    </w:p>
    <w:p w:rsidR="00D80054" w:rsidRPr="00DF37F5" w:rsidRDefault="00D80054" w:rsidP="00D80054">
      <w:pPr>
        <w:pStyle w:val="Affiliation"/>
        <w:bidi/>
        <w:rPr>
          <w:rFonts w:asciiTheme="majorBidi" w:hAnsiTheme="majorBidi" w:cstheme="majorBidi"/>
          <w:i/>
          <w:iCs/>
          <w:sz w:val="28"/>
          <w:szCs w:val="28"/>
        </w:rPr>
      </w:pPr>
      <w:r w:rsidRPr="00DF37F5">
        <w:rPr>
          <w:rFonts w:asciiTheme="majorBidi" w:hAnsiTheme="majorBidi" w:cstheme="majorBidi"/>
          <w:i/>
          <w:iCs/>
          <w:sz w:val="28"/>
          <w:szCs w:val="28"/>
          <w:rtl/>
        </w:rPr>
        <w:t>قسم الدعوة وأصول الدين</w:t>
      </w:r>
    </w:p>
    <w:p w:rsidR="00D80054" w:rsidRPr="00DF37F5" w:rsidRDefault="00D80054" w:rsidP="00D80054">
      <w:pPr>
        <w:pStyle w:val="Affiliation"/>
        <w:bidi/>
        <w:rPr>
          <w:rFonts w:asciiTheme="majorBidi" w:hAnsiTheme="majorBidi" w:cstheme="majorBidi"/>
          <w:i/>
          <w:iCs/>
          <w:sz w:val="28"/>
          <w:szCs w:val="28"/>
        </w:rPr>
      </w:pPr>
      <w:r w:rsidRPr="00DF37F5">
        <w:rPr>
          <w:rFonts w:asciiTheme="majorBidi" w:hAnsiTheme="majorBidi" w:cstheme="majorBidi"/>
          <w:i/>
          <w:iCs/>
          <w:sz w:val="28"/>
          <w:szCs w:val="28"/>
          <w:rtl/>
        </w:rPr>
        <w:t>كلية العلوم الإسلامية – جامعة المدينة العالمية</w:t>
      </w:r>
    </w:p>
    <w:p w:rsidR="00D80054" w:rsidRPr="00DF37F5" w:rsidRDefault="00D80054" w:rsidP="00D80054">
      <w:pPr>
        <w:pStyle w:val="Affiliation"/>
        <w:bidi/>
        <w:rPr>
          <w:rFonts w:asciiTheme="majorBidi" w:hAnsiTheme="majorBidi" w:cstheme="majorBidi"/>
          <w:i/>
          <w:iCs/>
          <w:sz w:val="28"/>
          <w:szCs w:val="28"/>
          <w:rtl/>
        </w:rPr>
      </w:pPr>
      <w:r w:rsidRPr="00DF37F5">
        <w:rPr>
          <w:rFonts w:asciiTheme="majorBidi" w:hAnsiTheme="majorBidi" w:cstheme="majorBidi"/>
          <w:i/>
          <w:iCs/>
          <w:sz w:val="28"/>
          <w:szCs w:val="28"/>
          <w:rtl/>
        </w:rPr>
        <w:t>شاه علم - ماليزيا</w:t>
      </w:r>
    </w:p>
    <w:p w:rsidR="00D80054" w:rsidRPr="00DF37F5" w:rsidRDefault="00DF37F5" w:rsidP="00D80054">
      <w:pPr>
        <w:tabs>
          <w:tab w:val="left" w:pos="4050"/>
        </w:tabs>
        <w:jc w:val="center"/>
        <w:rPr>
          <w:rFonts w:asciiTheme="majorBidi" w:eastAsia="SimSun" w:hAnsiTheme="majorBidi" w:cstheme="majorBidi"/>
          <w:i/>
          <w:iCs/>
          <w:sz w:val="28"/>
          <w:szCs w:val="28"/>
          <w:lang w:eastAsia="zh-CN"/>
        </w:rPr>
      </w:pPr>
      <w:hyperlink r:id="rId5" w:history="1">
        <w:r w:rsidRPr="00DF37F5">
          <w:rPr>
            <w:rFonts w:asciiTheme="majorBidi" w:eastAsia="SimSun" w:hAnsiTheme="majorBidi" w:cstheme="majorBidi"/>
            <w:i/>
            <w:iCs/>
            <w:sz w:val="28"/>
            <w:szCs w:val="28"/>
            <w:lang w:eastAsia="zh-CN"/>
          </w:rPr>
          <w:t>shaimaa.abdelmajeed@mediu.ws</w:t>
        </w:r>
      </w:hyperlink>
    </w:p>
    <w:p w:rsidR="00DF37F5" w:rsidRDefault="00DF37F5" w:rsidP="00D80054">
      <w:pPr>
        <w:tabs>
          <w:tab w:val="left" w:pos="4050"/>
        </w:tabs>
        <w:jc w:val="center"/>
        <w:rPr>
          <w:b/>
          <w:bCs/>
          <w:sz w:val="28"/>
          <w:szCs w:val="28"/>
          <w:lang w:bidi="ar-EG"/>
        </w:rPr>
      </w:pPr>
    </w:p>
    <w:p w:rsidR="00DF37F5" w:rsidRPr="00FE0D55" w:rsidRDefault="00DF37F5" w:rsidP="00D80054">
      <w:pPr>
        <w:tabs>
          <w:tab w:val="left" w:pos="4050"/>
        </w:tabs>
        <w:jc w:val="center"/>
        <w:rPr>
          <w:rFonts w:asciiTheme="majorBidi" w:hAnsiTheme="majorBidi" w:cstheme="majorBidi"/>
          <w:b/>
          <w:bCs/>
          <w:i/>
          <w:iCs/>
          <w:sz w:val="18"/>
          <w:szCs w:val="18"/>
          <w:lang w:bidi="ar-EG"/>
        </w:rPr>
      </w:pPr>
    </w:p>
    <w:p w:rsidR="00D80054" w:rsidRDefault="00D80054" w:rsidP="00D80054">
      <w:pPr>
        <w:rPr>
          <w:rFonts w:asciiTheme="majorBidi" w:hAnsiTheme="majorBidi" w:cstheme="majorBidi"/>
          <w:b/>
          <w:bCs/>
          <w:sz w:val="18"/>
          <w:szCs w:val="18"/>
          <w:rtl/>
        </w:rPr>
        <w:sectPr w:rsidR="00D80054" w:rsidSect="00D80054">
          <w:pgSz w:w="11906" w:h="16838"/>
          <w:pgMar w:top="731" w:right="737" w:bottom="2432" w:left="737" w:header="709" w:footer="709" w:gutter="0"/>
          <w:cols w:space="708"/>
          <w:bidi/>
          <w:rtlGutter/>
          <w:docGrid w:linePitch="360"/>
        </w:sectPr>
      </w:pPr>
    </w:p>
    <w:p w:rsidR="00D80054" w:rsidRPr="00916DA5" w:rsidRDefault="00D80054" w:rsidP="00D80054">
      <w:pPr>
        <w:rPr>
          <w:rFonts w:asciiTheme="majorBidi" w:eastAsia="Calibri" w:hAnsiTheme="majorBidi" w:cstheme="majorBidi"/>
          <w:b/>
          <w:bCs/>
          <w:sz w:val="18"/>
          <w:szCs w:val="18"/>
          <w:rtl/>
        </w:rPr>
      </w:pPr>
      <w:r w:rsidRPr="00D80054">
        <w:rPr>
          <w:rFonts w:asciiTheme="majorBidi" w:hAnsiTheme="majorBidi" w:cstheme="majorBidi" w:hint="cs"/>
          <w:b/>
          <w:bCs/>
          <w:sz w:val="18"/>
          <w:szCs w:val="18"/>
          <w:rtl/>
        </w:rPr>
        <w:lastRenderedPageBreak/>
        <w:t>خلاصة هذا البحث فى :</w:t>
      </w:r>
      <w:r w:rsidRPr="00D80054">
        <w:rPr>
          <w:rFonts w:asciiTheme="majorBidi" w:eastAsia="Calibri" w:hAnsiTheme="majorBidi" w:cstheme="majorBidi"/>
          <w:b/>
          <w:bCs/>
          <w:sz w:val="18"/>
          <w:szCs w:val="18"/>
          <w:rtl/>
        </w:rPr>
        <w:t xml:space="preserve"> معاني إحصاء أسماء الله الحسنى</w:t>
      </w:r>
      <w:r>
        <w:rPr>
          <w:rFonts w:asciiTheme="majorBidi" w:eastAsia="Calibri" w:hAnsiTheme="majorBidi" w:cstheme="majorBidi"/>
          <w:b/>
          <w:bCs/>
          <w:sz w:val="18"/>
          <w:szCs w:val="18"/>
          <w:rtl/>
        </w:rPr>
        <w:tab/>
      </w:r>
    </w:p>
    <w:p w:rsidR="00D80054" w:rsidRPr="00916DA5" w:rsidRDefault="00D80054" w:rsidP="00D80054">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الاحصاء، اسماء، تفاصيل</w:t>
      </w:r>
      <w:r>
        <w:rPr>
          <w:rFonts w:asciiTheme="majorBidi" w:eastAsia="Calibri" w:hAnsiTheme="majorBidi" w:cstheme="majorBidi"/>
          <w:b/>
          <w:bCs/>
          <w:sz w:val="18"/>
          <w:szCs w:val="18"/>
          <w:rtl/>
        </w:rPr>
        <w:tab/>
      </w:r>
    </w:p>
    <w:p w:rsidR="00D80054" w:rsidRPr="00916DA5" w:rsidRDefault="00D80054" w:rsidP="00D80054">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D80054" w:rsidRPr="00916DA5" w:rsidRDefault="00D80054" w:rsidP="00D80054">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D80054">
        <w:rPr>
          <w:rFonts w:asciiTheme="majorBidi" w:eastAsia="Calibri" w:hAnsiTheme="majorBidi" w:cstheme="majorBidi"/>
          <w:b/>
          <w:bCs/>
          <w:sz w:val="18"/>
          <w:szCs w:val="18"/>
          <w:rtl/>
        </w:rPr>
        <w:t>معاني إحصاء أسماء الله الحسنى</w:t>
      </w:r>
    </w:p>
    <w:p w:rsidR="00D80054" w:rsidRPr="00785C26" w:rsidRDefault="00D80054" w:rsidP="00D80054">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اختلف العلماء في معنى الإحصاء في قول النبي </w:t>
      </w:r>
      <w:r w:rsidRPr="00D80054">
        <w:rPr>
          <w:rFonts w:ascii="AGA Arabesque" w:hAnsi="AGA Arabesque"/>
          <w:position w:val="-4"/>
          <w:sz w:val="18"/>
          <w:szCs w:val="18"/>
        </w:rPr>
        <w:t></w:t>
      </w:r>
      <w:r w:rsidRPr="00D80054">
        <w:rPr>
          <w:rFonts w:hint="cs"/>
          <w:sz w:val="18"/>
          <w:szCs w:val="18"/>
          <w:rtl/>
        </w:rPr>
        <w:t xml:space="preserve"> في الحديث السابق: ((مَن أحصاها)).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وقبل البدء في ذكر أقوالهم، وبيان تفاصيل اختلافهم، لا بد من الإشارة إلى معنى الإحصاء في اللغة، ومن ثَمَّ نأتي إلى معناها الشرعي؛ لأنه منوط به.</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الإحصاء لغةً: </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مأخوذ من الفعل الثلاثي "حصى"، "الحاء والصاد والحرف المعتل ثلاثة أصول: الأول: المنع، والثاني: العدُّ والإطاقة، والثالث: شيء من أجزاء الأرض، وبالرجوع إلى معاني الأصول الثلاثة، فإن الأصل المتعلق بما نحن بصدده هو الثاني: تقول: أحصيت الشيء إذا عددته وأطقتَه، ومنه قوله تعالى: </w:t>
      </w:r>
      <w:r w:rsidRPr="00D80054">
        <w:rPr>
          <w:rFonts w:ascii="Tahoma" w:hAnsi="Tahoma" w:cs="DecoType Thuluth"/>
          <w:sz w:val="18"/>
          <w:szCs w:val="18"/>
          <w:rtl/>
        </w:rPr>
        <w:t>{</w:t>
      </w:r>
      <w:r w:rsidRPr="00D80054">
        <w:rPr>
          <w:rFonts w:ascii="QCF_P575" w:hAnsi="QCF_P575" w:cs="QCF_P575"/>
          <w:sz w:val="18"/>
          <w:szCs w:val="18"/>
          <w:rtl/>
        </w:rPr>
        <w:t>ﭧ ﭨ ﭩ ﭪ</w:t>
      </w:r>
      <w:r w:rsidRPr="00D80054">
        <w:rPr>
          <w:rFonts w:ascii="QCF_P575" w:hAnsi="QCF_P575" w:cs="DecoType Thuluth"/>
          <w:sz w:val="18"/>
          <w:szCs w:val="18"/>
          <w:rtl/>
        </w:rPr>
        <w:t>}</w:t>
      </w:r>
      <w:r w:rsidRPr="00D80054">
        <w:rPr>
          <w:rFonts w:ascii="QCF_P575" w:hAnsi="QCF_P575" w:cs="DecoType Thuluth" w:hint="cs"/>
          <w:sz w:val="18"/>
          <w:szCs w:val="18"/>
          <w:rtl/>
        </w:rPr>
        <w:t xml:space="preserve"> </w:t>
      </w:r>
      <w:r w:rsidRPr="00D80054">
        <w:rPr>
          <w:rFonts w:ascii="Tahoma" w:hAnsi="Tahoma" w:hint="cs"/>
          <w:sz w:val="18"/>
          <w:szCs w:val="18"/>
          <w:rtl/>
        </w:rPr>
        <w:t>[</w:t>
      </w:r>
      <w:r w:rsidRPr="00D80054">
        <w:rPr>
          <w:rFonts w:ascii="Tahoma" w:hAnsi="Tahoma"/>
          <w:sz w:val="18"/>
          <w:szCs w:val="18"/>
          <w:rtl/>
        </w:rPr>
        <w:t>المزمل: 20</w:t>
      </w:r>
      <w:r w:rsidRPr="00D80054">
        <w:rPr>
          <w:rFonts w:ascii="Tahoma" w:hAnsi="Tahoma" w:hint="cs"/>
          <w:sz w:val="18"/>
          <w:szCs w:val="18"/>
          <w:rtl/>
        </w:rPr>
        <w:t>]</w:t>
      </w:r>
      <w:r w:rsidRPr="00D80054">
        <w:rPr>
          <w:rFonts w:ascii="Tahoma" w:hAnsi="Tahoma"/>
          <w:sz w:val="18"/>
          <w:szCs w:val="18"/>
          <w:rtl/>
        </w:rPr>
        <w:t>.</w:t>
      </w:r>
    </w:p>
    <w:p w:rsidR="00D80054" w:rsidRPr="00D80054" w:rsidRDefault="00D80054" w:rsidP="00D80054">
      <w:pPr>
        <w:pStyle w:val="NormalWeb"/>
        <w:bidi/>
        <w:spacing w:before="0" w:beforeAutospacing="0" w:after="0" w:afterAutospacing="0"/>
        <w:jc w:val="lowKashida"/>
        <w:rPr>
          <w:sz w:val="18"/>
          <w:szCs w:val="18"/>
          <w:rtl/>
        </w:rPr>
      </w:pPr>
      <w:r w:rsidRPr="00D80054">
        <w:rPr>
          <w:rFonts w:hint="cs"/>
          <w:sz w:val="18"/>
          <w:szCs w:val="18"/>
          <w:rtl/>
        </w:rPr>
        <w:t>فالإحصاء: التحصيل بالعدد والإحاطة، مأخوذ من حَصَى الأرض الذي هو الأصل الثالث من أصول الكلمة؛ لأنه العُمدة في العدّ عند القدامى. والأصل الثالث مما له علاقة بمعنى الإحصاء لغةً: الحصاة، وهو العقل، يقال: ما له من حصاة، أي: ما له من عقل، والرابط بينهما القوة والشدة؛ فبالعقل تماسك الرجل وقوته، ومنه قول الشاعر:</w:t>
      </w:r>
    </w:p>
    <w:tbl>
      <w:tblPr>
        <w:bidiVisual/>
        <w:tblW w:w="0" w:type="auto"/>
        <w:jc w:val="center"/>
        <w:tblLook w:val="01E0"/>
      </w:tblPr>
      <w:tblGrid>
        <w:gridCol w:w="2227"/>
        <w:gridCol w:w="594"/>
        <w:gridCol w:w="2257"/>
      </w:tblGrid>
      <w:tr w:rsidR="00D80054" w:rsidRPr="00D80054" w:rsidTr="003E2427">
        <w:trPr>
          <w:trHeight w:hRule="exact" w:val="510"/>
          <w:jc w:val="center"/>
        </w:trPr>
        <w:tc>
          <w:tcPr>
            <w:tcW w:w="2909" w:type="dxa"/>
            <w:shd w:val="clear" w:color="auto" w:fill="auto"/>
            <w:vAlign w:val="center"/>
          </w:tcPr>
          <w:p w:rsidR="00D80054" w:rsidRPr="00D80054" w:rsidRDefault="00D80054" w:rsidP="00D80054">
            <w:pPr>
              <w:jc w:val="both"/>
              <w:rPr>
                <w:rFonts w:cs="AGA Furat Regular"/>
                <w:sz w:val="18"/>
                <w:szCs w:val="18"/>
                <w:rtl/>
                <w:lang w:bidi="ar-EG"/>
              </w:rPr>
            </w:pPr>
            <w:r w:rsidRPr="00D80054">
              <w:rPr>
                <w:rFonts w:cs="AGA Furat Regular" w:hint="cs"/>
                <w:sz w:val="18"/>
                <w:szCs w:val="18"/>
                <w:rtl/>
              </w:rPr>
              <w:t>وإنّ لِسَانَ المَرءِ مَا لم تَكن لَه</w:t>
            </w:r>
            <w:r w:rsidRPr="00D80054">
              <w:rPr>
                <w:rFonts w:cs="AGA Furat Regular"/>
                <w:sz w:val="18"/>
                <w:szCs w:val="18"/>
                <w:rtl/>
                <w:lang w:bidi="ar-EG"/>
              </w:rPr>
              <w:br/>
            </w:r>
          </w:p>
        </w:tc>
        <w:tc>
          <w:tcPr>
            <w:tcW w:w="709" w:type="dxa"/>
            <w:shd w:val="clear" w:color="auto" w:fill="auto"/>
            <w:vAlign w:val="center"/>
          </w:tcPr>
          <w:p w:rsidR="00D80054" w:rsidRPr="00D80054" w:rsidRDefault="00D80054" w:rsidP="00D80054">
            <w:pPr>
              <w:jc w:val="center"/>
              <w:rPr>
                <w:sz w:val="18"/>
                <w:szCs w:val="18"/>
                <w:rtl/>
              </w:rPr>
            </w:pPr>
            <w:r w:rsidRPr="00D80054">
              <w:rPr>
                <w:rFonts w:hint="cs"/>
                <w:sz w:val="18"/>
                <w:szCs w:val="18"/>
                <w:rtl/>
              </w:rPr>
              <w:t>*</w:t>
            </w:r>
          </w:p>
        </w:tc>
        <w:tc>
          <w:tcPr>
            <w:tcW w:w="2909" w:type="dxa"/>
            <w:shd w:val="clear" w:color="auto" w:fill="auto"/>
            <w:vAlign w:val="center"/>
          </w:tcPr>
          <w:p w:rsidR="00D80054" w:rsidRPr="00D80054" w:rsidRDefault="00D80054" w:rsidP="00D80054">
            <w:pPr>
              <w:jc w:val="both"/>
              <w:rPr>
                <w:rFonts w:ascii="Tahoma" w:hAnsi="Tahoma" w:cs="AGA Furat Regular"/>
                <w:sz w:val="18"/>
                <w:szCs w:val="18"/>
                <w:rtl/>
              </w:rPr>
            </w:pPr>
            <w:r w:rsidRPr="00D80054">
              <w:rPr>
                <w:rFonts w:cs="AGA Furat Regular" w:hint="cs"/>
                <w:sz w:val="18"/>
                <w:szCs w:val="18"/>
                <w:rtl/>
              </w:rPr>
              <w:t>حَصَاةٌ عَلى عَوراتِهِ لَدَلِيلُ</w:t>
            </w:r>
            <w:r w:rsidRPr="00D80054">
              <w:rPr>
                <w:rFonts w:cs="AGA Furat Regular"/>
                <w:sz w:val="18"/>
                <w:szCs w:val="18"/>
                <w:rtl/>
              </w:rPr>
              <w:br/>
            </w:r>
          </w:p>
        </w:tc>
      </w:tr>
    </w:tbl>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وأشارَ بَعضُ أهل العلم إلى أن الإحصاء أخص من العدَّ؛ لأنه العدُّ على سبيل الاستقصاء والإحاطة.</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فتخلص من هذا البيان: أنّ الإحْصَاءَ لُغة: إحاطَةُ العِلْمِ باستقصاء العدد، ويكونُ ذَلكَ بإحاطته وإطاقته وعقله.</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الإحصاء شرعًا: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أما المراد بالإحصاء الوارد في حديث الأسماء؛ فقد تعددت أقوال العلماء في تحديده؛ وهي كثيرة يمكن الإشارة إلى أبرزها: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الأول: المراد بالإحصاء في الحديث هو: عدها حتى تستوفى حفظًا، ومن ثَمَّ الدعاء بها.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واختار هذا القول الخطابي في (شأن الدعاء)، والقرطبي في (المفهم لما أشكل من تلخيص كتاب مسلم)، والنووي في شرحه على (صحيح مسلم)، و(الأذكار)، والعيني في (عمدة القاري شرح صحيح البخاري)، والطيبي في (شرح مشكاة المصابيح)، والسيوطي في (الديباج على صحيح مسلم بن الحجاج)، وعزاه النووي والعيني إلى الأكثرين والمحققين، وذكرَا أنه قول الإمام البخاري. واستدلّ أصحابُ هذا القول برواية البخاري، وهي قوله </w:t>
      </w:r>
      <w:r w:rsidRPr="00D80054">
        <w:rPr>
          <w:rFonts w:ascii="AGA Arabesque" w:hAnsi="AGA Arabesque"/>
          <w:position w:val="-4"/>
          <w:sz w:val="18"/>
          <w:szCs w:val="18"/>
        </w:rPr>
        <w:t></w:t>
      </w:r>
      <w:r w:rsidRPr="00D80054">
        <w:rPr>
          <w:rFonts w:hint="cs"/>
          <w:sz w:val="18"/>
          <w:szCs w:val="18"/>
          <w:rtl/>
        </w:rPr>
        <w:t>: ((مَن حفِظها دخل الجنة)).</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pacing w:val="-8"/>
          <w:sz w:val="18"/>
          <w:szCs w:val="18"/>
          <w:rtl/>
        </w:rPr>
        <w:t xml:space="preserve">الثاني: المُراد بالإحصاء: الإطاقة، ومنه قوله تعالى: </w:t>
      </w:r>
      <w:r w:rsidRPr="00D80054">
        <w:rPr>
          <w:rFonts w:ascii="Tahoma" w:hAnsi="Tahoma" w:cs="DecoType Thuluth"/>
          <w:spacing w:val="-8"/>
          <w:sz w:val="18"/>
          <w:szCs w:val="18"/>
          <w:rtl/>
        </w:rPr>
        <w:t>{</w:t>
      </w:r>
      <w:r w:rsidRPr="00D80054">
        <w:rPr>
          <w:rFonts w:ascii="QCF_P575" w:hAnsi="QCF_P575" w:cs="QCF_P575"/>
          <w:spacing w:val="-8"/>
          <w:sz w:val="18"/>
          <w:szCs w:val="18"/>
          <w:rtl/>
        </w:rPr>
        <w:t>ﭧ ﭨ ﭩ ﭪ</w:t>
      </w:r>
      <w:r w:rsidRPr="00D80054">
        <w:rPr>
          <w:rFonts w:ascii="QCF_P575" w:hAnsi="QCF_P575" w:cs="DecoType Thuluth"/>
          <w:spacing w:val="-8"/>
          <w:sz w:val="18"/>
          <w:szCs w:val="18"/>
          <w:rtl/>
        </w:rPr>
        <w:t>}</w:t>
      </w:r>
      <w:r w:rsidRPr="00D80054">
        <w:rPr>
          <w:rFonts w:hint="cs"/>
          <w:spacing w:val="-8"/>
          <w:sz w:val="18"/>
          <w:szCs w:val="18"/>
          <w:rtl/>
        </w:rPr>
        <w:t xml:space="preserve">. وقوله </w:t>
      </w:r>
      <w:r w:rsidRPr="00D80054">
        <w:rPr>
          <w:rFonts w:ascii="AGA Arabesque" w:hAnsi="AGA Arabesque"/>
          <w:spacing w:val="-8"/>
          <w:position w:val="-4"/>
          <w:sz w:val="18"/>
          <w:szCs w:val="18"/>
        </w:rPr>
        <w:t></w:t>
      </w:r>
      <w:r w:rsidRPr="00D80054">
        <w:rPr>
          <w:rFonts w:hint="cs"/>
          <w:sz w:val="18"/>
          <w:szCs w:val="18"/>
          <w:rtl/>
        </w:rPr>
        <w:t>: ((استقيموا ولن تحصوا)). أخرجه الإمام أحمد في (المسند) وقال محقق (المسند): حديث صحيح. وأخرجه ابن ماجه في (سننه)، في كتاب الطهارة، باب المحافظة على الوضوء، وقال الألباني: صحيح.</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قال ابن الأثير الجزري: ((ولن تحصوا)): لن تطيقوا الاستقامة، من قوله تعالى: </w:t>
      </w:r>
      <w:r w:rsidRPr="00D80054">
        <w:rPr>
          <w:rFonts w:ascii="Tahoma" w:hAnsi="Tahoma" w:cs="DecoType Thuluth"/>
          <w:sz w:val="18"/>
          <w:szCs w:val="18"/>
          <w:rtl/>
        </w:rPr>
        <w:t>{</w:t>
      </w:r>
      <w:r w:rsidRPr="00D80054">
        <w:rPr>
          <w:rFonts w:ascii="QCF_P575" w:hAnsi="QCF_P575" w:cs="QCF_P575"/>
          <w:sz w:val="18"/>
          <w:szCs w:val="18"/>
          <w:rtl/>
        </w:rPr>
        <w:t>ﭧ ﭨ ﭩ ﭪ</w:t>
      </w:r>
      <w:r w:rsidRPr="00D80054">
        <w:rPr>
          <w:rFonts w:ascii="QCF_P575" w:hAnsi="QCF_P575" w:cs="DecoType Thuluth"/>
          <w:sz w:val="18"/>
          <w:szCs w:val="18"/>
          <w:rtl/>
        </w:rPr>
        <w:t>}</w:t>
      </w:r>
      <w:r w:rsidRPr="00D80054">
        <w:rPr>
          <w:rFonts w:hint="cs"/>
          <w:sz w:val="18"/>
          <w:szCs w:val="18"/>
          <w:rtl/>
        </w:rPr>
        <w:t>، أي: لن تطيقوا عده وضبطه، والمعنى: من أطاق القيام بحق هذه الأسماء، والعلم بمقتضاها، وهو أن يعتبر معانيها، فليلزِم نفسه بواجبها؛ فإذا قال: الرزاق وثق بالرزق، وكذا سائر الأسماء. وهذا القول فرعٌ وقريب من القول الثالث الآتي.</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الثالث: المراد الإحاطة بمعانيها، من قول العرب: فلان ذو حصاة، أي: ذو عقل ومعرفة، وقد سبقت الإشارة إلى هذا المعنى قريبًا عند تحديد المفهوم اللغوي للإحصاء.</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lastRenderedPageBreak/>
        <w:t xml:space="preserve">ومِمّا يَدُلّ على هذا المعنى الحديث الصحيح: أنّ النّبي </w:t>
      </w:r>
      <w:r w:rsidRPr="00D80054">
        <w:rPr>
          <w:rFonts w:ascii="AGA Arabesque" w:hAnsi="AGA Arabesque"/>
          <w:position w:val="-4"/>
          <w:sz w:val="18"/>
          <w:szCs w:val="18"/>
        </w:rPr>
        <w:t></w:t>
      </w:r>
      <w:r w:rsidRPr="00D80054">
        <w:rPr>
          <w:rFonts w:hint="cs"/>
          <w:sz w:val="18"/>
          <w:szCs w:val="18"/>
          <w:rtl/>
        </w:rPr>
        <w:t xml:space="preserve"> كان يقول في سجوده: ((اللهم إني أعوذ برضاك من سخطك، وبمعافاتك من عقوبتك، وبك منك، لا أحصي ثناءً عليك، أنت كما أثنيتَ على نفسك)). ووجه الشاهد منه قوله </w:t>
      </w:r>
      <w:r w:rsidRPr="00D80054">
        <w:rPr>
          <w:rFonts w:ascii="AGA Arabesque" w:hAnsi="AGA Arabesque"/>
          <w:position w:val="-4"/>
          <w:sz w:val="18"/>
          <w:szCs w:val="18"/>
        </w:rPr>
        <w:t></w:t>
      </w:r>
      <w:r w:rsidRPr="00D80054">
        <w:rPr>
          <w:rFonts w:hint="cs"/>
          <w:sz w:val="18"/>
          <w:szCs w:val="18"/>
          <w:rtl/>
        </w:rPr>
        <w:t>: ((لا أحصي ثناء عليك)).</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قال شيخ الإسلام: وهو سبحانه يحبُّ عباده الذين يحبونه، والمحبوبُ لغيره أولى أن يكون محبوبًا؛ فإذا كُنّا إذا أحْبَبنا شيئًا لله كان الله هو المحبوب في الحقيقة، وحبنا لذلك بطريق التبع، وكنا نحب من يحب الله؛ لأنه يحب الله؛ فالله تعالى يحب الذي يحبونه فهو المُستَحِقُّ أن يكون هو المحبوب المألوه المعبود، وأن يكون غاية كل حب.</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كيف وهو سبحانه الذي يحمد المعبود ويثني على نفسه، ويُحِبُّ الحمد من خلقه، كما قال النبي </w:t>
      </w:r>
      <w:r w:rsidRPr="00D80054">
        <w:rPr>
          <w:rFonts w:ascii="AGA Arabesque" w:hAnsi="AGA Arabesque"/>
          <w:position w:val="-4"/>
          <w:sz w:val="18"/>
          <w:szCs w:val="18"/>
        </w:rPr>
        <w:t></w:t>
      </w:r>
      <w:r w:rsidRPr="00D80054">
        <w:rPr>
          <w:rFonts w:hint="cs"/>
          <w:sz w:val="18"/>
          <w:szCs w:val="18"/>
          <w:rtl/>
        </w:rPr>
        <w:t xml:space="preserve"> في الحديث الصحيح: ((لا أحد أحَبّ إليه المدح من الله))، وقال له الأسود بن سريع: ((يا رسول الله، إني حمدت ربي بمحامد، فقال: إن ربك يحب الحمد))، وفي الحديث الصحيح: ((أن النبي </w:t>
      </w:r>
      <w:r w:rsidRPr="00D80054">
        <w:rPr>
          <w:rFonts w:ascii="AGA Arabesque" w:hAnsi="AGA Arabesque"/>
          <w:position w:val="-4"/>
          <w:sz w:val="18"/>
          <w:szCs w:val="18"/>
        </w:rPr>
        <w:t></w:t>
      </w:r>
      <w:r w:rsidRPr="00D80054">
        <w:rPr>
          <w:rFonts w:hint="cs"/>
          <w:sz w:val="18"/>
          <w:szCs w:val="18"/>
          <w:rtl/>
        </w:rPr>
        <w:t xml:space="preserve"> كان يقول في سجوده: اللهم إني أعوذ برضاك من سخطك، وبمعافاتك من عقوبتك، وبك منك، لا أحصي ثناءً عليك أنت كما أثنيت على نفسك)). وقد روي أنه كان يقول ذلك في آخر الوتر، فهو المثني على نفسه، وهو كما أثنَى على نفسه، إذ أفضل خلقه لا يحصي ثناء عليه، والثناء: تكرير المحامد وتثنيتها... فهو سبحانه مستحق للحمد والثناء والمجد، ولا أحد يحسن أن يحمده كما يحمد نفسه، ولا يثني عليه كما يثني على نفسه، ولا يمجده كما يمجد نفسه.</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وقال في موضع آخر </w:t>
      </w:r>
      <w:r w:rsidRPr="00D80054">
        <w:rPr>
          <w:rFonts w:cs="Traditional Arabic" w:hint="cs"/>
          <w:sz w:val="18"/>
          <w:szCs w:val="18"/>
          <w:rtl/>
        </w:rPr>
        <w:t>-</w:t>
      </w:r>
      <w:r w:rsidRPr="00D80054">
        <w:rPr>
          <w:rFonts w:hint="cs"/>
          <w:sz w:val="18"/>
          <w:szCs w:val="18"/>
          <w:rtl/>
        </w:rPr>
        <w:t>رحمه الله</w:t>
      </w:r>
      <w:r w:rsidRPr="00D80054">
        <w:rPr>
          <w:rFonts w:cs="Traditional Arabic" w:hint="cs"/>
          <w:sz w:val="18"/>
          <w:szCs w:val="18"/>
          <w:rtl/>
        </w:rPr>
        <w:t>-</w:t>
      </w:r>
      <w:r w:rsidRPr="00D80054">
        <w:rPr>
          <w:rFonts w:hint="cs"/>
          <w:sz w:val="18"/>
          <w:szCs w:val="18"/>
          <w:rtl/>
        </w:rPr>
        <w:t xml:space="preserve"> قوله: </w:t>
      </w:r>
      <w:r w:rsidRPr="00D80054">
        <w:rPr>
          <w:rFonts w:ascii="Tahoma" w:hAnsi="Tahoma" w:cs="DecoType Thuluth"/>
          <w:sz w:val="18"/>
          <w:szCs w:val="18"/>
          <w:rtl/>
        </w:rPr>
        <w:t>{</w:t>
      </w:r>
      <w:r w:rsidRPr="00D80054">
        <w:rPr>
          <w:rFonts w:ascii="QCF_P141" w:hAnsi="QCF_P141" w:cs="QCF_P141"/>
          <w:sz w:val="18"/>
          <w:szCs w:val="18"/>
          <w:rtl/>
        </w:rPr>
        <w:t>ﭥ ﭦ ﭧ</w:t>
      </w:r>
      <w:r w:rsidRPr="00D80054">
        <w:rPr>
          <w:rFonts w:ascii="QCF_P141" w:hAnsi="QCF_P141" w:cs="DecoType Thuluth"/>
          <w:sz w:val="18"/>
          <w:szCs w:val="18"/>
          <w:rtl/>
        </w:rPr>
        <w:t>}</w:t>
      </w:r>
      <w:r w:rsidRPr="00D80054">
        <w:rPr>
          <w:rFonts w:ascii="Tahoma" w:hAnsi="Tahoma"/>
          <w:sz w:val="18"/>
          <w:szCs w:val="18"/>
          <w:rtl/>
        </w:rPr>
        <w:t xml:space="preserve"> [الأنعام: 103]</w:t>
      </w:r>
      <w:r w:rsidRPr="00D80054">
        <w:rPr>
          <w:rFonts w:hint="cs"/>
          <w:sz w:val="18"/>
          <w:szCs w:val="18"/>
          <w:rtl/>
        </w:rPr>
        <w:t xml:space="preserve"> الإدراك عند السلف والأكثرين هو الإحاطة، وقال طائفة: هو الرؤية، وهو ضعيف؛ لأنّ نفي الرؤية عنه لا مدحَ فيه؛ فإن العدم لا يُرى، وكل وصف يشترك فيه الوجود والعدم لا يستلزم أمرًا ثبوتيًّا فلا يكون فيه مدح، إذ هو عدم محض، بخلاف ما إذا قيل: لا يُحاط به؛ فإنه يدل على عظمة الرب </w:t>
      </w:r>
      <w:r w:rsidRPr="00D80054">
        <w:rPr>
          <w:rFonts w:ascii="AGA Arabesque" w:hAnsi="AGA Arabesque"/>
          <w:position w:val="-4"/>
          <w:sz w:val="18"/>
          <w:szCs w:val="18"/>
        </w:rPr>
        <w:t></w:t>
      </w:r>
      <w:r w:rsidRPr="00D80054">
        <w:rPr>
          <w:rFonts w:hint="cs"/>
          <w:sz w:val="18"/>
          <w:szCs w:val="18"/>
          <w:rtl/>
        </w:rPr>
        <w:t xml:space="preserve"> وإنّ العباد مع رؤيتهم له لا يحيطون به رؤيةً. كما أنهم مع معرفته لا يحيطون به علمًا، وكما أنهم مع مدحه والثناء عليه لا يحيطون ثناءً عليه؛ بل هو كما أثنَى على نفسه المقدسة. ولهذا قال أفضل الخلق وأعلمهم: ((لا أحصي ثناء عليك، أنت كما أثنيت على نفسك)).</w:t>
      </w:r>
    </w:p>
    <w:p w:rsidR="00D80054" w:rsidRPr="00D80054" w:rsidRDefault="00D80054" w:rsidP="00D80054">
      <w:pPr>
        <w:pStyle w:val="NormalWeb"/>
        <w:bidi/>
        <w:spacing w:before="0" w:beforeAutospacing="0" w:after="0" w:afterAutospacing="0"/>
        <w:jc w:val="lowKashida"/>
        <w:rPr>
          <w:spacing w:val="-2"/>
          <w:sz w:val="18"/>
          <w:szCs w:val="18"/>
        </w:rPr>
      </w:pPr>
      <w:r w:rsidRPr="00D80054">
        <w:rPr>
          <w:rFonts w:hint="cs"/>
          <w:spacing w:val="-4"/>
          <w:sz w:val="18"/>
          <w:szCs w:val="18"/>
          <w:rtl/>
        </w:rPr>
        <w:t xml:space="preserve">المراد بالإحصاء في قوله </w:t>
      </w:r>
      <w:r w:rsidRPr="00D80054">
        <w:rPr>
          <w:rFonts w:ascii="AGA Arabesque" w:hAnsi="AGA Arabesque"/>
          <w:spacing w:val="-4"/>
          <w:position w:val="-4"/>
          <w:sz w:val="18"/>
          <w:szCs w:val="18"/>
        </w:rPr>
        <w:t></w:t>
      </w:r>
      <w:r w:rsidRPr="00D80054">
        <w:rPr>
          <w:rFonts w:hint="cs"/>
          <w:spacing w:val="-4"/>
          <w:sz w:val="18"/>
          <w:szCs w:val="18"/>
          <w:rtl/>
        </w:rPr>
        <w:t xml:space="preserve">: ((لا أحصي ثناء عليك))، هو الإحاطة والحصر، ولمّا كان هذا مُتعذرًا في حق النبي </w:t>
      </w:r>
      <w:r w:rsidRPr="00D80054">
        <w:rPr>
          <w:rFonts w:ascii="AGA Arabesque" w:hAnsi="AGA Arabesque"/>
          <w:spacing w:val="-4"/>
          <w:position w:val="-4"/>
          <w:sz w:val="18"/>
          <w:szCs w:val="18"/>
        </w:rPr>
        <w:t></w:t>
      </w:r>
      <w:r w:rsidRPr="00D80054">
        <w:rPr>
          <w:rFonts w:hint="cs"/>
          <w:spacing w:val="-4"/>
          <w:sz w:val="18"/>
          <w:szCs w:val="18"/>
          <w:rtl/>
        </w:rPr>
        <w:t xml:space="preserve"> فآحاد الناس من أمته مهما كانت منزلته في العلم والتقوى بعده </w:t>
      </w:r>
      <w:r w:rsidRPr="00D80054">
        <w:rPr>
          <w:rFonts w:ascii="AGA Arabesque" w:hAnsi="AGA Arabesque"/>
          <w:spacing w:val="-4"/>
          <w:position w:val="-4"/>
          <w:sz w:val="18"/>
          <w:szCs w:val="18"/>
        </w:rPr>
        <w:t></w:t>
      </w:r>
      <w:r w:rsidRPr="00D80054">
        <w:rPr>
          <w:rFonts w:hint="cs"/>
          <w:spacing w:val="-4"/>
          <w:sz w:val="18"/>
          <w:szCs w:val="18"/>
          <w:rtl/>
        </w:rPr>
        <w:t xml:space="preserve"> متعذر في حقه من باب أولى، ولا شك أنّ الإحَاطة بما له </w:t>
      </w:r>
      <w:r w:rsidRPr="00D80054">
        <w:rPr>
          <w:rFonts w:ascii="AGA Arabesque" w:hAnsi="AGA Arabesque"/>
          <w:spacing w:val="-4"/>
          <w:position w:val="-4"/>
          <w:sz w:val="18"/>
          <w:szCs w:val="18"/>
        </w:rPr>
        <w:t></w:t>
      </w:r>
      <w:r w:rsidRPr="00D80054">
        <w:rPr>
          <w:rFonts w:hint="cs"/>
          <w:spacing w:val="-2"/>
          <w:sz w:val="18"/>
          <w:szCs w:val="18"/>
          <w:rtl/>
        </w:rPr>
        <w:t xml:space="preserve"> من الأسماء الحسنى غير ممكن للبشر </w:t>
      </w:r>
      <w:r w:rsidRPr="00D80054">
        <w:rPr>
          <w:rFonts w:cs="Traditional Arabic" w:hint="cs"/>
          <w:spacing w:val="-2"/>
          <w:sz w:val="18"/>
          <w:szCs w:val="18"/>
          <w:rtl/>
        </w:rPr>
        <w:t>-</w:t>
      </w:r>
      <w:r w:rsidRPr="00D80054">
        <w:rPr>
          <w:rFonts w:hint="cs"/>
          <w:spacing w:val="-2"/>
          <w:sz w:val="18"/>
          <w:szCs w:val="18"/>
          <w:rtl/>
        </w:rPr>
        <w:t>كما سبق تقريره</w:t>
      </w:r>
      <w:r w:rsidRPr="00D80054">
        <w:rPr>
          <w:rFonts w:cs="Traditional Arabic" w:hint="cs"/>
          <w:spacing w:val="-2"/>
          <w:sz w:val="18"/>
          <w:szCs w:val="18"/>
          <w:rtl/>
        </w:rPr>
        <w:t>-</w:t>
      </w:r>
      <w:r w:rsidRPr="00D80054">
        <w:rPr>
          <w:rFonts w:hint="cs"/>
          <w:spacing w:val="-2"/>
          <w:sz w:val="18"/>
          <w:szCs w:val="18"/>
          <w:rtl/>
        </w:rPr>
        <w:t xml:space="preserve"> ولذلك رتب الله </w:t>
      </w:r>
      <w:r w:rsidRPr="00D80054">
        <w:rPr>
          <w:rFonts w:ascii="AGA Arabesque" w:hAnsi="AGA Arabesque"/>
          <w:spacing w:val="-2"/>
          <w:position w:val="-4"/>
          <w:sz w:val="18"/>
          <w:szCs w:val="18"/>
        </w:rPr>
        <w:t></w:t>
      </w:r>
      <w:r w:rsidRPr="00D80054">
        <w:rPr>
          <w:rFonts w:hint="cs"/>
          <w:spacing w:val="-2"/>
          <w:sz w:val="18"/>
          <w:szCs w:val="18"/>
          <w:rtl/>
        </w:rPr>
        <w:t xml:space="preserve"> هذه الفضيلة الواردة في الحديث على العدد المعين، وهو التسعة والتسعون اسمًا.</w:t>
      </w:r>
    </w:p>
    <w:p w:rsidR="00D80054" w:rsidRPr="00D80054" w:rsidRDefault="00D80054" w:rsidP="00D80054">
      <w:pPr>
        <w:pStyle w:val="NormalWeb"/>
        <w:bidi/>
        <w:spacing w:before="0" w:beforeAutospacing="0" w:after="0" w:afterAutospacing="0"/>
        <w:jc w:val="lowKashida"/>
        <w:rPr>
          <w:sz w:val="18"/>
          <w:szCs w:val="18"/>
          <w:lang w:bidi="ar-EG"/>
        </w:rPr>
      </w:pPr>
      <w:r w:rsidRPr="00D80054">
        <w:rPr>
          <w:rFonts w:hint="cs"/>
          <w:sz w:val="18"/>
          <w:szCs w:val="18"/>
          <w:rtl/>
        </w:rPr>
        <w:t>((مَن أحصاها)) أي: أحاط بها معرفة وعقل معانيها حصلت له هذه الفضيلة، وهي استحقاق دخول الجنة.</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الرابع: أنّ المُراد بالحِفْظِ حفظ القرآن؛ لكونه مستوفيًا لها، فمن تلاه ودعا بما فيه من الأسماء حصل المقصود، ونسب الحافظ ابن حجر والعيني هذا القول لابن الجوزي وضعفاه، وكذا ضعفه الإمام النووي.</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وهناك أقوال أخرى ذكرها شُرَّاح الحديث لا يمكن اعتبارها أقوالًا مستقلةً، وإنما هي كالضوابط للقول الأول خاصة، كمن قال: إن المراد مِن "مَن عرفها"؛ لأنّ العَارِفَ بها لا يكون إلا مؤمنًا، والمؤمن يَدخل الجنة، أو قال: عدّها معتقدًا؛ لأن الدهري لا يعترف بالخالق، والفلسفي لا يعترف بالقادر، ومن قال: ((أحصاها)) يريد بها وجه الله وإعظامه، أو قال: معنى ((أحصاها)): عمل بها، فجميع هذه الأقوال لا يمكن عدها أقوالًا مستقلةً؛ بل هي داخلة فيما سبقها من أقوال، خاصة الأول منها.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أما القول الخامس: وهو الجامع لمعاني الإحصاء كلها: فما ذكره الإمام المحقق تلميذ شيخ الإسلام ابن تيمية ابن القيم </w:t>
      </w:r>
      <w:r w:rsidRPr="00D80054">
        <w:rPr>
          <w:rFonts w:cs="Traditional Arabic" w:hint="cs"/>
          <w:sz w:val="18"/>
          <w:szCs w:val="18"/>
          <w:rtl/>
        </w:rPr>
        <w:t>-</w:t>
      </w:r>
      <w:r w:rsidRPr="00D80054">
        <w:rPr>
          <w:rFonts w:hint="cs"/>
          <w:sz w:val="18"/>
          <w:szCs w:val="18"/>
          <w:rtl/>
        </w:rPr>
        <w:t>رحمه الله</w:t>
      </w:r>
      <w:r w:rsidRPr="00D80054">
        <w:rPr>
          <w:rFonts w:cs="Traditional Arabic" w:hint="cs"/>
          <w:sz w:val="18"/>
          <w:szCs w:val="18"/>
          <w:rtl/>
        </w:rPr>
        <w:t>-</w:t>
      </w:r>
      <w:r w:rsidRPr="00D80054">
        <w:rPr>
          <w:rFonts w:hint="cs"/>
          <w:sz w:val="18"/>
          <w:szCs w:val="18"/>
          <w:rtl/>
        </w:rPr>
        <w:t xml:space="preserve"> حيث قال: بيان مراتب إحصاء أسمائه؛ التي من أحصاها دخل الجنة، وهذا هو قطب السعادة؛ ومدار النجاة والفلاح:</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المرتبة الأولى: إحصاء ألفاظها وعددها.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المرتبة الثانية: فَهم معانيها ومدلولها.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المرتبة الثالثة: دعاؤه بها، كما قال تعالى: </w:t>
      </w:r>
      <w:r w:rsidRPr="00D80054">
        <w:rPr>
          <w:rFonts w:ascii="Tahoma" w:hAnsi="Tahoma" w:cs="DecoType Thuluth"/>
          <w:sz w:val="18"/>
          <w:szCs w:val="18"/>
          <w:rtl/>
        </w:rPr>
        <w:t>{</w:t>
      </w:r>
      <w:r w:rsidRPr="00D80054">
        <w:rPr>
          <w:rFonts w:ascii="QCF_P174" w:hAnsi="QCF_P174" w:cs="QCF_P174"/>
          <w:sz w:val="18"/>
          <w:szCs w:val="18"/>
          <w:rtl/>
        </w:rPr>
        <w:t>ﭳ ﭴ ﭵ ﭶ ﭷ</w:t>
      </w:r>
      <w:r w:rsidRPr="00D80054">
        <w:rPr>
          <w:rFonts w:ascii="QCF_P174" w:hAnsi="QCF_P174" w:cs="DecoType Thuluth"/>
          <w:sz w:val="18"/>
          <w:szCs w:val="18"/>
          <w:rtl/>
        </w:rPr>
        <w:t>}</w:t>
      </w:r>
      <w:r w:rsidRPr="00D80054">
        <w:rPr>
          <w:rFonts w:ascii="Tahoma" w:hAnsi="Tahoma"/>
          <w:sz w:val="18"/>
          <w:szCs w:val="18"/>
          <w:rtl/>
        </w:rPr>
        <w:t xml:space="preserve"> [الأعراف: 180]</w:t>
      </w:r>
      <w:r w:rsidRPr="00D80054">
        <w:rPr>
          <w:rFonts w:hint="cs"/>
          <w:sz w:val="18"/>
          <w:szCs w:val="18"/>
          <w:rtl/>
        </w:rPr>
        <w:t xml:space="preserve"> وهذا القول الذي اختاره الإمام ابن القيم وغيره، ليس ببعيد عن اختيار شيخ الإسلام؛ فإن المتأمل في </w:t>
      </w:r>
      <w:r w:rsidRPr="00D80054">
        <w:rPr>
          <w:rFonts w:hint="cs"/>
          <w:sz w:val="18"/>
          <w:szCs w:val="18"/>
          <w:rtl/>
        </w:rPr>
        <w:lastRenderedPageBreak/>
        <w:t xml:space="preserve">هذا القول يجِدُ أنّه تفصيل للقول الثالث، وذلك أن الإحاطة والتعقل لمعاني الأسماء هو المقصود، وذلك من أجل تحقيق الغاية من هذا الإحصاء، وثمرته المرجوة منه، وهي التعبد لله </w:t>
      </w:r>
      <w:r w:rsidRPr="00D80054">
        <w:rPr>
          <w:rFonts w:ascii="AGA Arabesque" w:hAnsi="AGA Arabesque"/>
          <w:position w:val="-4"/>
          <w:sz w:val="18"/>
          <w:szCs w:val="18"/>
        </w:rPr>
        <w:t></w:t>
      </w:r>
      <w:r w:rsidRPr="00D80054">
        <w:rPr>
          <w:rFonts w:hint="cs"/>
          <w:sz w:val="18"/>
          <w:szCs w:val="18"/>
          <w:rtl/>
        </w:rPr>
        <w:t xml:space="preserve"> بهذه الأسماء، ويشمل ذلك دعاء الله </w:t>
      </w:r>
      <w:r w:rsidRPr="00D80054">
        <w:rPr>
          <w:rFonts w:ascii="AGA Arabesque" w:hAnsi="AGA Arabesque"/>
          <w:position w:val="-4"/>
          <w:sz w:val="18"/>
          <w:szCs w:val="18"/>
        </w:rPr>
        <w:t></w:t>
      </w:r>
      <w:r w:rsidRPr="00D80054">
        <w:rPr>
          <w:rFonts w:hint="cs"/>
          <w:sz w:val="18"/>
          <w:szCs w:val="18"/>
          <w:rtl/>
        </w:rPr>
        <w:t xml:space="preserve"> بها، والعمل بمقتضاها.</w:t>
      </w:r>
    </w:p>
    <w:p w:rsidR="00D80054" w:rsidRPr="00D80054" w:rsidRDefault="00D80054" w:rsidP="00D80054">
      <w:pPr>
        <w:pStyle w:val="NormalWeb"/>
        <w:bidi/>
        <w:spacing w:before="0" w:beforeAutospacing="0" w:after="0" w:afterAutospacing="0"/>
        <w:jc w:val="lowKashida"/>
        <w:rPr>
          <w:sz w:val="18"/>
          <w:szCs w:val="18"/>
          <w:lang w:bidi="ar-EG"/>
        </w:rPr>
      </w:pPr>
      <w:r w:rsidRPr="00D80054">
        <w:rPr>
          <w:rFonts w:hint="cs"/>
          <w:sz w:val="18"/>
          <w:szCs w:val="18"/>
          <w:rtl/>
        </w:rPr>
        <w:t xml:space="preserve">قال الحافظ الحكمي في (معارج القبول): واختلف العلماء في معنى قوله </w:t>
      </w:r>
      <w:r w:rsidRPr="00D80054">
        <w:rPr>
          <w:rFonts w:ascii="AGA Arabesque" w:hAnsi="AGA Arabesque"/>
          <w:position w:val="-4"/>
          <w:sz w:val="18"/>
          <w:szCs w:val="18"/>
        </w:rPr>
        <w:t></w:t>
      </w:r>
      <w:r w:rsidRPr="00D80054">
        <w:rPr>
          <w:rFonts w:hint="cs"/>
          <w:sz w:val="18"/>
          <w:szCs w:val="18"/>
          <w:rtl/>
        </w:rPr>
        <w:t>: ((من أحصاها)) فقال البخاري وغيره من المحققين: معناه حفظها، وأنّ إحدى الروايتين مفسرة للأخرى، وقال الخطابي: يحتمل وجوهًا:</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أحدها: أن يعدها حتى يستوفيها، بمعنى أن لا يقتصر على بعضها فيدعو الله بها كلها، ويثني عليه بجميعها؛ فيستوجب الموعود عليها من الثواب.</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وثانيها: المراد بالإحصاء الإطاقة، والمعنى: مَن أطاق القيام بهذه الأسماء والعمل بمقتضاها، وهو أن يعتبر معانيها؛ فيلزِم نفسه بموجبها؛ فإذا قال: الرّزاق وثق بالرزق، وكذا سائر الأسماء.</w:t>
      </w:r>
    </w:p>
    <w:p w:rsidR="00D80054" w:rsidRPr="00D80054" w:rsidRDefault="00D80054" w:rsidP="00D80054">
      <w:pPr>
        <w:pStyle w:val="NormalWeb"/>
        <w:bidi/>
        <w:spacing w:before="0" w:beforeAutospacing="0" w:after="0" w:afterAutospacing="0"/>
        <w:jc w:val="lowKashida"/>
        <w:rPr>
          <w:spacing w:val="-4"/>
          <w:sz w:val="18"/>
          <w:szCs w:val="18"/>
        </w:rPr>
      </w:pPr>
      <w:r w:rsidRPr="00D80054">
        <w:rPr>
          <w:rFonts w:hint="cs"/>
          <w:spacing w:val="-4"/>
          <w:sz w:val="18"/>
          <w:szCs w:val="18"/>
          <w:rtl/>
        </w:rPr>
        <w:t>ثالثها: المراد بها الإحاطة بجميع معانيها، وقيل: ((أحصاها)) عمِل بها؛ فإذا قال: الحكيم سلم لجميع أوامره وأقداره، وأنها جميعها على مقتضى الحكمة. وإذا قال: القدوس اسْتَحْضَر كَونَه مُقَدّسًا منزهًا عن جميع النقائض، واختاره أبو الوفاء ابن عَقيل. وقال ابن بطال: طريق العمل بها أن ما كان يسوغ الاقتداء به كالرحيم والكريم؛ فيُمرن العبد نفسه على أن يصح له الاتصاف بها، يعني: فيما يقوم به.</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وما كان يختصُّ به نفسه كالجبار والعظيم؛ فعلى العبد الإقرار بها والخضوع لها، وعدم التحلي بصفة منها، وما كان فيه معنى الوعد يقف فيه عند الطمع والرّغبة، وما كان فيه معنى الوعيد يقف منه عند الخشية والرهبة. انتهى.</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والظاهر أن معنى حفظها وإحصائها هو معرفتها والقيام بعبوديتها، كما أنّ القُرآن لا ينفعُ حفظ ألفاظه مَن لا يعمل به، بَل جاء في المُرّاق من الدين أنهم يقرءون القرآنَ لا يُجَاوِزُ حناجرهم.</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وقال ابن القيم </w:t>
      </w:r>
      <w:r w:rsidRPr="00D80054">
        <w:rPr>
          <w:rFonts w:cs="Traditional Arabic" w:hint="cs"/>
          <w:sz w:val="18"/>
          <w:szCs w:val="18"/>
          <w:rtl/>
        </w:rPr>
        <w:t>-</w:t>
      </w:r>
      <w:r w:rsidRPr="00D80054">
        <w:rPr>
          <w:rFonts w:hint="cs"/>
          <w:sz w:val="18"/>
          <w:szCs w:val="18"/>
          <w:rtl/>
        </w:rPr>
        <w:t>رحمه الله تعالى</w:t>
      </w:r>
      <w:r w:rsidRPr="00D80054">
        <w:rPr>
          <w:rFonts w:cs="Traditional Arabic" w:hint="cs"/>
          <w:sz w:val="18"/>
          <w:szCs w:val="18"/>
          <w:rtl/>
        </w:rPr>
        <w:t>-</w:t>
      </w:r>
      <w:r w:rsidRPr="00D80054">
        <w:rPr>
          <w:rFonts w:hint="cs"/>
          <w:sz w:val="18"/>
          <w:szCs w:val="18"/>
          <w:rtl/>
        </w:rPr>
        <w:t xml:space="preserve"> بعد كلام طويل على أولية الله تعالى، وما في ذلك الشهود من الغنى التام، قال: وليس هذا مختصًّا بأوليته تعالى فقط، بل جميعُ ما يبدو للقلوب من صفات الرّب سُبحانه يستغني العبد بها بقدر حظه وقسمه، من معرفتها وقيامه بعبوديتها، فمن شهد مشهد علو الله تعالى على خلقه وفوقيته لعباده، واستوائه على عرشه؛ كما أخبر بها أعرفُ الخلق وأعْلَمُهم به الصادِقُ المَصْدُوق، وتَعَبّد بمُقْتَضَى هَذه الصِّفة بحيثُ يصير لقلبه صمد يخرج إليه مناجيًا له مطرقًا واقفًا بين يديه، وقوف العبد الذليل بين يدي الملك العزيز.</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فيشعر بأن كلِمه وعلمه صاعد إليه معروض عليه مع أوفى خاصته وأوليائه؛ فيستحي أن يصعد إليه من كلمه ما يخزيه، ويفضحه هناك ويشهد نزول الأمر والمراسيم الإلهية إلى أقطار العوالم، كل وقت بأنواع التدبير والتصرف من الإماتة والإحياء والتولية والعزل، والخفض والرفع، والعطاء والمنع، وكشف البلاء وإرساله، وتقلب الدول، ومداولة الأيام بين الناس، إلى غير ذلك من التصرفات في المملكة التي لا يتصرف فيها سواه.</w:t>
      </w:r>
    </w:p>
    <w:p w:rsidR="00D80054" w:rsidRPr="00D80054" w:rsidRDefault="00D80054" w:rsidP="00D80054">
      <w:pPr>
        <w:pStyle w:val="NormalWeb"/>
        <w:bidi/>
        <w:spacing w:before="0" w:beforeAutospacing="0" w:after="0" w:afterAutospacing="0"/>
        <w:jc w:val="both"/>
        <w:rPr>
          <w:rFonts w:ascii="Tahoma" w:hAnsi="Tahoma"/>
          <w:sz w:val="18"/>
          <w:szCs w:val="18"/>
        </w:rPr>
      </w:pPr>
      <w:r w:rsidRPr="00D80054">
        <w:rPr>
          <w:rFonts w:hint="cs"/>
          <w:sz w:val="18"/>
          <w:szCs w:val="18"/>
          <w:rtl/>
        </w:rPr>
        <w:t xml:space="preserve">فمراسيمه نافذة فيها كما يشاء: </w:t>
      </w:r>
      <w:r w:rsidRPr="00D80054">
        <w:rPr>
          <w:rFonts w:ascii="Tahoma" w:hAnsi="Tahoma" w:cs="DecoType Thuluth"/>
          <w:sz w:val="18"/>
          <w:szCs w:val="18"/>
          <w:rtl/>
        </w:rPr>
        <w:t>{</w:t>
      </w:r>
      <w:r w:rsidRPr="00D80054">
        <w:rPr>
          <w:rFonts w:ascii="QCF_P415" w:hAnsi="QCF_P415" w:cs="QCF_P415"/>
          <w:sz w:val="18"/>
          <w:szCs w:val="18"/>
          <w:rtl/>
        </w:rPr>
        <w:t>ﮋ ﮌ ﮍ ﮎ ﮏ ﮐ ﮑ ﮒ ﮓ ﮔ ﮕ ﮖ ﮗ ﮘ ﮙ ﮚ ﮛ</w:t>
      </w:r>
      <w:r w:rsidRPr="00D80054">
        <w:rPr>
          <w:rFonts w:ascii="QCF_P415" w:hAnsi="QCF_P415" w:cs="DecoType Thuluth"/>
          <w:sz w:val="18"/>
          <w:szCs w:val="18"/>
          <w:rtl/>
        </w:rPr>
        <w:t>}</w:t>
      </w:r>
      <w:r w:rsidRPr="00D80054">
        <w:rPr>
          <w:rFonts w:ascii="Tahoma" w:hAnsi="Tahoma"/>
          <w:sz w:val="18"/>
          <w:szCs w:val="18"/>
          <w:rtl/>
        </w:rPr>
        <w:t xml:space="preserve"> [السجدة: 5] </w:t>
      </w:r>
      <w:r w:rsidRPr="00D80054">
        <w:rPr>
          <w:rFonts w:hint="cs"/>
          <w:sz w:val="18"/>
          <w:szCs w:val="18"/>
          <w:rtl/>
        </w:rPr>
        <w:t>فمَن أعطى هذا المشهد حقه معرفةً وعبوديةً؛ استغنى به، وكَذلك من شَهِدَ مَشْهَد العِلْم المُحيطِ الذِي لَا يَعْزُب عَنه مِثْقَالُ ذَرّة في الأرض ولا في السموات، ولا في قرار البحار، ولا تحت أطباق الجبال، بل أحاط بذلك علمًا تفصيليًّا، ثم تَعَبّد بمقتضى هذا الشهود من حراسة خواطره وإرادته، وجميع أحْواله وعَزماته وجوارحه؛ علم أن حركاتِه الظاهرة والباطنة، وخواطره وإرادته، وجميعَ أحواله ظاهرة مكشوفة لديه علانية، بادية لا يخفَى عليه منها شيء.</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وكذلك إذا أشعر قلبه صفة سمعه سبحانه بأصوات عباده على اختلافها وجهرها وخفائها، وسواء عنده مَن أسر القول ومَن جهر به، لا يشغله جَهْر من جهر عن سمعه صوت من أسر، ولا يشغله سمع من سمع، ولا تغلطه الأصوات على كثرتها، واختلافها واجتماعها؛ فهي عنده كلها كصوت الواحد، كما أنّ خَلق الخَلْق جميعهم وبعثهم عنده بمنزلة نفس واحدة.</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وكذلك إذا شهد معنى اسمه البصير </w:t>
      </w:r>
      <w:r w:rsidRPr="00D80054">
        <w:rPr>
          <w:rFonts w:cs="Traditional Arabic" w:hint="cs"/>
          <w:sz w:val="18"/>
          <w:szCs w:val="18"/>
          <w:rtl/>
        </w:rPr>
        <w:t>-</w:t>
      </w:r>
      <w:r w:rsidRPr="00D80054">
        <w:rPr>
          <w:rFonts w:hint="cs"/>
          <w:sz w:val="18"/>
          <w:szCs w:val="18"/>
          <w:rtl/>
        </w:rPr>
        <w:t>جل جلاله</w:t>
      </w:r>
      <w:r w:rsidRPr="00D80054">
        <w:rPr>
          <w:rFonts w:cs="Traditional Arabic" w:hint="cs"/>
          <w:sz w:val="18"/>
          <w:szCs w:val="18"/>
          <w:rtl/>
        </w:rPr>
        <w:t>-</w:t>
      </w:r>
      <w:r w:rsidRPr="00D80054">
        <w:rPr>
          <w:rFonts w:hint="cs"/>
          <w:sz w:val="18"/>
          <w:szCs w:val="18"/>
          <w:rtl/>
        </w:rPr>
        <w:t xml:space="preserve"> الذي يرى دبيب النملة السوداء، على الصخرة الصماء في حندس الظلماء، ويرى تفاصيل خلق الذرة الصغيرة، ومُخّها وعروقها، ولحمها وحركتها، ويرى مَد البعوضة جناحها في ظلمة الليل، وأعطى هذا المشهد حقه من العبودية؛ بحرس حركاته وسكناته، وتيقن أنها بمرأًى منه، ومشاهدة لا يغيب عنه منها شيء.</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وكذلك إذا شهد مشهد القيومية الجامع لصفات الأفعال، وأنه قائم على كل شيء، وقائم على كل نفس بما كسبت، وأنّه تعالى هو القائم بنفسه المقيم لغيره، القائم عليه بتدبيره وربوبيته وقهره، وإيصال جزاء المحسن وجزاء المسيء إليه، وأنه بكامل قيوميته لا </w:t>
      </w:r>
      <w:r w:rsidRPr="00D80054">
        <w:rPr>
          <w:rFonts w:hint="cs"/>
          <w:sz w:val="18"/>
          <w:szCs w:val="18"/>
          <w:rtl/>
        </w:rPr>
        <w:lastRenderedPageBreak/>
        <w:t xml:space="preserve">ينام، ولا ينبغي له أن ينام، يَخفضُ القِسط ويَرفعه، يرفع إليه عمل الليل قبل عمل النهار، وعمل النهار قبل عمل الليل، </w:t>
      </w:r>
      <w:r w:rsidRPr="00D80054">
        <w:rPr>
          <w:rFonts w:ascii="Tahoma" w:hAnsi="Tahoma" w:cs="DecoType Thuluth"/>
          <w:sz w:val="18"/>
          <w:szCs w:val="18"/>
          <w:rtl/>
        </w:rPr>
        <w:t>{</w:t>
      </w:r>
      <w:r w:rsidRPr="00D80054">
        <w:rPr>
          <w:rFonts w:ascii="QCF_P042" w:hAnsi="QCF_P042" w:cs="QCF_P042"/>
          <w:sz w:val="18"/>
          <w:szCs w:val="18"/>
          <w:rtl/>
        </w:rPr>
        <w:t>ﮫ ﮬ ﮭ ﮮ ﮯ</w:t>
      </w:r>
      <w:r w:rsidRPr="00D80054">
        <w:rPr>
          <w:rFonts w:ascii="QCF_P042" w:hAnsi="QCF_P042" w:cs="DecoType Thuluth"/>
          <w:sz w:val="18"/>
          <w:szCs w:val="18"/>
          <w:rtl/>
        </w:rPr>
        <w:t>}</w:t>
      </w:r>
      <w:r w:rsidRPr="00D80054">
        <w:rPr>
          <w:rFonts w:ascii="Tahoma" w:hAnsi="Tahoma"/>
          <w:sz w:val="18"/>
          <w:szCs w:val="18"/>
          <w:rtl/>
        </w:rPr>
        <w:t xml:space="preserve"> [البقرة: 255]</w:t>
      </w:r>
      <w:r w:rsidRPr="00D80054">
        <w:rPr>
          <w:rFonts w:hint="cs"/>
          <w:sz w:val="18"/>
          <w:szCs w:val="18"/>
          <w:rtl/>
        </w:rPr>
        <w:t xml:space="preserve"> ولا يضل ولا ينسى.</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وهذا المشهد من أرفع مشاهد العارفين، وهو مشهد الربوبية، وأعلى منه: مشهد الإلهية الذي هو مشهد الرسل وأتباعهم الحنفاء، وهو شهادة أن لا إله إلا الله، وأن إلهية ما سواه باطل ومحال، كما أنّ رُبوبية ما سواه كذلك؛ فلا أحدَ سواه يستحقُّ أن يؤلَّه ويُعبد، ويُصلى له ويُسجد، ويستحق نهاية الحُبّ مع نهاية الذُّل لكمال أسمائه وصفاته وأفعاله، فهو المطاع وحده على الحقيقة، والمألوه وحده وله الحكم؛ فكل عبودية لغيره باطلة وعناء وضلال، وكل محبة لغيره عذاب لصاحبها، وكل غنًى بغيره فقر وفاقة، وكل عز بغيره ذل وصغار، وكل تكثر بغيره قِلة وذلة.</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فكما استحال أن يكون للخلق رب غيره؛ فكذلك استحال أن يكون لهم إله غيره؛ فهو الذي انتهت إليه الرغبات، وتوجهت نحوه الطلبات، ويستحيل أن يكون معه إله آخر؛ فإن الإله على الحقيقة هو الغني الصمد، الكامل في أسمائه وصفاته، الذي حاجة كل أحد إليه، ولا حاجةَ به إلى أحد، وقيام كل شيء به، وليس قيامه بغيره.</w:t>
      </w:r>
    </w:p>
    <w:p w:rsidR="00D80054" w:rsidRPr="00D80054" w:rsidRDefault="00D80054" w:rsidP="00D80054">
      <w:pPr>
        <w:pStyle w:val="NormalWeb"/>
        <w:bidi/>
        <w:spacing w:before="0" w:beforeAutospacing="0" w:after="0" w:afterAutospacing="0"/>
        <w:jc w:val="lowKashida"/>
        <w:rPr>
          <w:sz w:val="18"/>
          <w:szCs w:val="18"/>
        </w:rPr>
      </w:pPr>
      <w:r w:rsidRPr="00D80054">
        <w:rPr>
          <w:rFonts w:hint="cs"/>
          <w:sz w:val="18"/>
          <w:szCs w:val="18"/>
          <w:rtl/>
        </w:rPr>
        <w:t xml:space="preserve">إلى أن قال: فمشهد الألوهية هو مشهد الحُنفاء، وهو مشهد جامع للأسماء والصفات، وحَظُّ العِبَاد منه بحسب حظهم من معرفة الأسماء والصفات، ولذلك كان الاسم الدال على هذا المعنى، هو اسم الله </w:t>
      </w:r>
      <w:r w:rsidRPr="00D80054">
        <w:rPr>
          <w:rFonts w:cs="Traditional Arabic" w:hint="cs"/>
          <w:sz w:val="18"/>
          <w:szCs w:val="18"/>
          <w:rtl/>
        </w:rPr>
        <w:t>-</w:t>
      </w:r>
      <w:r w:rsidRPr="00D80054">
        <w:rPr>
          <w:rFonts w:hint="cs"/>
          <w:sz w:val="18"/>
          <w:szCs w:val="18"/>
          <w:rtl/>
        </w:rPr>
        <w:t>جل جلاله</w:t>
      </w:r>
      <w:r w:rsidRPr="00D80054">
        <w:rPr>
          <w:rFonts w:cs="Traditional Arabic" w:hint="cs"/>
          <w:sz w:val="18"/>
          <w:szCs w:val="18"/>
          <w:rtl/>
        </w:rPr>
        <w:t>-</w:t>
      </w:r>
      <w:r w:rsidRPr="00D80054">
        <w:rPr>
          <w:rFonts w:hint="cs"/>
          <w:sz w:val="18"/>
          <w:szCs w:val="18"/>
          <w:rtl/>
        </w:rPr>
        <w:t xml:space="preserve"> فإن هذا الاسم هو الجامع؛ ولهذا تضاف الأسماء الحسنى كلها إليه، فيقال: الرحمن، الرحيم، العزيز، الغفار، القهار؛ من أسماء الله، ولا يقال: الله من أسماء الرحمن، قال الله تعالى: </w:t>
      </w:r>
      <w:r w:rsidRPr="00D80054">
        <w:rPr>
          <w:rFonts w:ascii="Tahoma" w:hAnsi="Tahoma" w:cs="DecoType Thuluth"/>
          <w:sz w:val="18"/>
          <w:szCs w:val="18"/>
          <w:rtl/>
        </w:rPr>
        <w:t>{</w:t>
      </w:r>
      <w:r w:rsidRPr="00D80054">
        <w:rPr>
          <w:rFonts w:ascii="QCF_P174" w:hAnsi="QCF_P174" w:cs="QCF_P174"/>
          <w:sz w:val="18"/>
          <w:szCs w:val="18"/>
          <w:rtl/>
        </w:rPr>
        <w:t>ﭳ ﭴ ﭵ</w:t>
      </w:r>
      <w:r w:rsidRPr="00D80054">
        <w:rPr>
          <w:rFonts w:ascii="QCF_P174" w:hAnsi="QCF_P174" w:cs="DecoType Thuluth"/>
          <w:sz w:val="18"/>
          <w:szCs w:val="18"/>
          <w:rtl/>
        </w:rPr>
        <w:t>}</w:t>
      </w:r>
      <w:r w:rsidRPr="00D80054">
        <w:rPr>
          <w:rFonts w:ascii="Tahoma" w:hAnsi="Tahoma"/>
          <w:sz w:val="18"/>
          <w:szCs w:val="18"/>
          <w:rtl/>
        </w:rPr>
        <w:t xml:space="preserve"> [الأعراف: 180]</w:t>
      </w:r>
      <w:r w:rsidRPr="00D80054">
        <w:rPr>
          <w:rFonts w:hint="cs"/>
          <w:sz w:val="18"/>
          <w:szCs w:val="18"/>
          <w:rtl/>
        </w:rPr>
        <w:t>.</w:t>
      </w:r>
    </w:p>
    <w:p w:rsidR="00D80054" w:rsidRPr="00D80054" w:rsidRDefault="00D80054" w:rsidP="00D80054">
      <w:pPr>
        <w:pStyle w:val="NormalWeb"/>
        <w:bidi/>
        <w:spacing w:before="0" w:beforeAutospacing="0" w:after="0" w:afterAutospacing="0"/>
        <w:jc w:val="lowKashida"/>
        <w:rPr>
          <w:sz w:val="18"/>
          <w:szCs w:val="18"/>
          <w:rtl/>
        </w:rPr>
      </w:pPr>
      <w:r w:rsidRPr="00D80054">
        <w:rPr>
          <w:rFonts w:hint="cs"/>
          <w:sz w:val="18"/>
          <w:szCs w:val="18"/>
          <w:rtl/>
        </w:rPr>
        <w:t>فهذا المشهد تجتمع فيه المشاهد كلها، وكل مشهد سواه؛ فإنما هو مشهد لصفة من صفاته، فمن اتسع قلبه لمشهد الإلهية، وقام بحقه من التّعبد الذي هو كمال الحب مع كمال الذل والتعظيم، والقيام بوظائف العبودية؛ فقد تَمّ له غِناه بالإله الحق، وصار من أغنى العباد، ولسان مثل هذا يقول:</w:t>
      </w:r>
    </w:p>
    <w:tbl>
      <w:tblPr>
        <w:bidiVisual/>
        <w:tblW w:w="0" w:type="auto"/>
        <w:jc w:val="center"/>
        <w:tblLook w:val="01E0"/>
      </w:tblPr>
      <w:tblGrid>
        <w:gridCol w:w="2236"/>
        <w:gridCol w:w="595"/>
        <w:gridCol w:w="2247"/>
      </w:tblGrid>
      <w:tr w:rsidR="00D80054" w:rsidRPr="00D80054" w:rsidTr="003E2427">
        <w:trPr>
          <w:trHeight w:hRule="exact" w:val="510"/>
          <w:jc w:val="center"/>
        </w:trPr>
        <w:tc>
          <w:tcPr>
            <w:tcW w:w="2909" w:type="dxa"/>
            <w:shd w:val="clear" w:color="auto" w:fill="auto"/>
            <w:vAlign w:val="center"/>
          </w:tcPr>
          <w:p w:rsidR="00D80054" w:rsidRPr="00D80054" w:rsidRDefault="00D80054" w:rsidP="00D80054">
            <w:pPr>
              <w:jc w:val="both"/>
              <w:rPr>
                <w:rFonts w:cs="AGA Furat Regular"/>
                <w:sz w:val="18"/>
                <w:szCs w:val="18"/>
                <w:rtl/>
              </w:rPr>
            </w:pPr>
            <w:r w:rsidRPr="00D80054">
              <w:rPr>
                <w:rFonts w:cs="AGA Furat Regular" w:hint="cs"/>
                <w:sz w:val="18"/>
                <w:szCs w:val="18"/>
                <w:rtl/>
              </w:rPr>
              <w:t>غنيت بلا مالٍ عن الناس كلهم</w:t>
            </w:r>
            <w:r w:rsidRPr="00D80054">
              <w:rPr>
                <w:rFonts w:cs="AGA Furat Regular"/>
                <w:sz w:val="18"/>
                <w:szCs w:val="18"/>
                <w:rtl/>
              </w:rPr>
              <w:br/>
            </w:r>
          </w:p>
        </w:tc>
        <w:tc>
          <w:tcPr>
            <w:tcW w:w="709" w:type="dxa"/>
            <w:shd w:val="clear" w:color="auto" w:fill="auto"/>
            <w:vAlign w:val="center"/>
          </w:tcPr>
          <w:p w:rsidR="00D80054" w:rsidRPr="00D80054" w:rsidRDefault="00D80054" w:rsidP="00D80054">
            <w:pPr>
              <w:jc w:val="center"/>
              <w:rPr>
                <w:sz w:val="18"/>
                <w:szCs w:val="18"/>
                <w:rtl/>
              </w:rPr>
            </w:pPr>
            <w:r w:rsidRPr="00D80054">
              <w:rPr>
                <w:rFonts w:hint="cs"/>
                <w:sz w:val="18"/>
                <w:szCs w:val="18"/>
                <w:rtl/>
              </w:rPr>
              <w:t>*</w:t>
            </w:r>
          </w:p>
        </w:tc>
        <w:tc>
          <w:tcPr>
            <w:tcW w:w="2909" w:type="dxa"/>
            <w:shd w:val="clear" w:color="auto" w:fill="auto"/>
            <w:vAlign w:val="center"/>
          </w:tcPr>
          <w:p w:rsidR="00D80054" w:rsidRPr="00D80054" w:rsidRDefault="00D80054" w:rsidP="00D80054">
            <w:pPr>
              <w:jc w:val="both"/>
              <w:rPr>
                <w:rFonts w:ascii="Tahoma" w:hAnsi="Tahoma" w:cs="AGA Furat Regular"/>
                <w:sz w:val="18"/>
                <w:szCs w:val="18"/>
                <w:rtl/>
              </w:rPr>
            </w:pPr>
            <w:r w:rsidRPr="00D80054">
              <w:rPr>
                <w:rFonts w:cs="AGA Furat Regular" w:hint="cs"/>
                <w:sz w:val="18"/>
                <w:szCs w:val="18"/>
                <w:rtl/>
              </w:rPr>
              <w:t>وإنّ الغِنى العالي عن الشيء لا به</w:t>
            </w:r>
            <w:r w:rsidRPr="00D80054">
              <w:rPr>
                <w:rFonts w:cs="AGA Furat Regular"/>
                <w:sz w:val="18"/>
                <w:szCs w:val="18"/>
                <w:rtl/>
              </w:rPr>
              <w:br/>
            </w:r>
          </w:p>
        </w:tc>
      </w:tr>
    </w:tbl>
    <w:p w:rsidR="00D80054" w:rsidRDefault="00D80054" w:rsidP="00D80054">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D80054" w:rsidRPr="00785C26" w:rsidRDefault="00D80054" w:rsidP="00D80054">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D80054" w:rsidRPr="00785C26" w:rsidRDefault="00D80054" w:rsidP="00D80054">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D80054" w:rsidRDefault="00D80054" w:rsidP="00D80054">
      <w:pPr>
        <w:spacing w:before="60" w:after="200"/>
        <w:jc w:val="center"/>
        <w:rPr>
          <w:rFonts w:asciiTheme="majorBidi" w:eastAsia="Calibri" w:hAnsiTheme="majorBidi" w:cstheme="majorBidi"/>
          <w:b/>
          <w:bCs/>
          <w:sz w:val="44"/>
          <w:szCs w:val="44"/>
          <w:rtl/>
        </w:rPr>
        <w:sectPr w:rsidR="00D80054" w:rsidSect="00D80054">
          <w:type w:val="continuous"/>
          <w:pgSz w:w="11906" w:h="16838"/>
          <w:pgMar w:top="731" w:right="737" w:bottom="2432" w:left="737" w:header="709" w:footer="709" w:gutter="0"/>
          <w:cols w:num="2" w:space="708"/>
          <w:bidi/>
          <w:rtlGutter/>
          <w:docGrid w:linePitch="360"/>
        </w:sectPr>
      </w:pPr>
    </w:p>
    <w:p w:rsidR="00D80054" w:rsidRPr="00D80054" w:rsidRDefault="00D80054" w:rsidP="00D80054">
      <w:pPr>
        <w:spacing w:before="60" w:after="200"/>
        <w:jc w:val="center"/>
        <w:rPr>
          <w:rFonts w:asciiTheme="majorBidi" w:eastAsia="Calibri" w:hAnsiTheme="majorBidi" w:cstheme="majorBidi"/>
          <w:b/>
          <w:bCs/>
          <w:sz w:val="44"/>
          <w:szCs w:val="44"/>
          <w:rtl/>
        </w:rPr>
      </w:pPr>
    </w:p>
    <w:p w:rsidR="004219C3" w:rsidRPr="00D80054" w:rsidRDefault="004219C3" w:rsidP="00D80054">
      <w:pPr>
        <w:spacing w:before="60" w:after="200"/>
        <w:jc w:val="center"/>
        <w:rPr>
          <w:rFonts w:asciiTheme="majorBidi" w:eastAsia="Calibri" w:hAnsiTheme="majorBidi" w:cstheme="majorBidi"/>
          <w:b/>
          <w:bCs/>
          <w:sz w:val="44"/>
          <w:szCs w:val="44"/>
        </w:rPr>
      </w:pPr>
    </w:p>
    <w:sectPr w:rsidR="004219C3" w:rsidRPr="00D80054" w:rsidSect="00D80054">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575">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P141">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415">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0054"/>
    <w:rsid w:val="001A2769"/>
    <w:rsid w:val="001C03C9"/>
    <w:rsid w:val="004168A0"/>
    <w:rsid w:val="004219C3"/>
    <w:rsid w:val="00613DB6"/>
    <w:rsid w:val="00732CB5"/>
    <w:rsid w:val="0073536F"/>
    <w:rsid w:val="00D80054"/>
    <w:rsid w:val="00DF37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5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0054"/>
    <w:pPr>
      <w:bidi w:val="0"/>
      <w:spacing w:before="100" w:beforeAutospacing="1" w:after="100" w:afterAutospacing="1"/>
    </w:pPr>
  </w:style>
  <w:style w:type="paragraph" w:customStyle="1" w:styleId="Affiliation">
    <w:name w:val="Affiliation"/>
    <w:rsid w:val="00D8005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8005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D8005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80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maa.abdelmaje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2000</Words>
  <Characters>11405</Characters>
  <Application>Microsoft Office Word</Application>
  <DocSecurity>0</DocSecurity>
  <Lines>95</Lines>
  <Paragraphs>26</Paragraphs>
  <ScaleCrop>false</ScaleCrop>
  <Company>Fannan</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2013-06-23T06:58:00Z</dcterms:created>
  <dcterms:modified xsi:type="dcterms:W3CDTF">2013-06-25T09:23:00Z</dcterms:modified>
</cp:coreProperties>
</file>