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1C" w:rsidRPr="00B5351C" w:rsidRDefault="00B5351C" w:rsidP="00B5351C">
      <w:pPr>
        <w:jc w:val="center"/>
        <w:rPr>
          <w:rFonts w:asciiTheme="majorBidi" w:eastAsia="Calibri" w:hAnsiTheme="majorBidi" w:cstheme="majorBidi"/>
          <w:b/>
          <w:bCs/>
          <w:sz w:val="44"/>
          <w:szCs w:val="44"/>
          <w:rtl/>
        </w:rPr>
      </w:pPr>
      <w:r w:rsidRPr="00B5351C">
        <w:rPr>
          <w:rFonts w:asciiTheme="majorBidi" w:eastAsia="Calibri" w:hAnsiTheme="majorBidi" w:cstheme="majorBidi"/>
          <w:b/>
          <w:bCs/>
          <w:sz w:val="44"/>
          <w:szCs w:val="44"/>
          <w:rtl/>
        </w:rPr>
        <w:t>حكم إثبات الأقيسة في حق الله تعالى، وإثبات المثل الأعلى فيه</w:t>
      </w:r>
    </w:p>
    <w:p w:rsidR="00B5351C" w:rsidRDefault="00B5351C" w:rsidP="00B5351C">
      <w:pPr>
        <w:jc w:val="center"/>
        <w:rPr>
          <w:rFonts w:asciiTheme="majorBidi" w:hAnsiTheme="majorBidi" w:cstheme="majorBidi" w:hint="cs"/>
          <w:b/>
          <w:bCs/>
          <w:i/>
          <w:iCs/>
          <w:sz w:val="28"/>
          <w:szCs w:val="28"/>
          <w:rtl/>
        </w:rPr>
      </w:pPr>
      <w:r w:rsidRPr="00261860">
        <w:rPr>
          <w:rFonts w:asciiTheme="majorBidi" w:hAnsiTheme="majorBidi" w:cstheme="majorBidi" w:hint="cs"/>
          <w:b/>
          <w:bCs/>
          <w:i/>
          <w:iCs/>
          <w:sz w:val="28"/>
          <w:szCs w:val="28"/>
          <w:rtl/>
        </w:rPr>
        <w:t>بحث فى : توحيد الصفات</w:t>
      </w:r>
    </w:p>
    <w:p w:rsidR="007136BA" w:rsidRPr="00261860" w:rsidRDefault="007136BA" w:rsidP="00B5351C">
      <w:pPr>
        <w:jc w:val="center"/>
        <w:rPr>
          <w:rFonts w:asciiTheme="majorBidi" w:eastAsia="Calibri" w:hAnsiTheme="majorBidi" w:cstheme="majorBidi"/>
          <w:b/>
          <w:bCs/>
          <w:i/>
          <w:iCs/>
          <w:color w:val="4F81BD"/>
          <w:sz w:val="28"/>
          <w:szCs w:val="28"/>
          <w:rtl/>
          <w:lang w:bidi="ar-EG"/>
        </w:rPr>
      </w:pPr>
    </w:p>
    <w:p w:rsidR="00B5351C" w:rsidRPr="007136BA" w:rsidRDefault="00B5351C" w:rsidP="007136BA">
      <w:pPr>
        <w:pStyle w:val="Affiliation"/>
        <w:bidi/>
        <w:rPr>
          <w:rFonts w:asciiTheme="majorBidi" w:eastAsia="Times New Roman" w:hAnsiTheme="majorBidi" w:cstheme="majorBidi"/>
          <w:i/>
          <w:iCs/>
          <w:sz w:val="28"/>
          <w:szCs w:val="28"/>
        </w:rPr>
      </w:pPr>
      <w:r w:rsidRPr="007136BA">
        <w:rPr>
          <w:rFonts w:asciiTheme="majorBidi" w:eastAsia="Times New Roman" w:hAnsiTheme="majorBidi" w:cstheme="majorBidi"/>
          <w:b/>
          <w:bCs/>
          <w:i/>
          <w:iCs/>
          <w:sz w:val="28"/>
          <w:szCs w:val="28"/>
          <w:rtl/>
        </w:rPr>
        <w:tab/>
      </w:r>
      <w:r w:rsidRPr="007136BA">
        <w:rPr>
          <w:rFonts w:asciiTheme="majorBidi" w:eastAsia="Times New Roman" w:hAnsiTheme="majorBidi" w:cstheme="majorBidi"/>
          <w:i/>
          <w:iCs/>
          <w:sz w:val="28"/>
          <w:szCs w:val="28"/>
          <w:rtl/>
        </w:rPr>
        <w:tab/>
        <w:t xml:space="preserve">إعداد / </w:t>
      </w:r>
      <w:r w:rsidR="007136BA" w:rsidRPr="007136BA">
        <w:rPr>
          <w:rFonts w:asciiTheme="majorBidi" w:eastAsia="Times New Roman" w:hAnsiTheme="majorBidi" w:cstheme="majorBidi"/>
          <w:i/>
          <w:iCs/>
          <w:sz w:val="28"/>
          <w:szCs w:val="28"/>
          <w:rtl/>
        </w:rPr>
        <w:t>فاطمة السيد العشري</w:t>
      </w:r>
    </w:p>
    <w:p w:rsidR="00B5351C" w:rsidRPr="007136BA" w:rsidRDefault="00B5351C" w:rsidP="00B5351C">
      <w:pPr>
        <w:pStyle w:val="Affiliation"/>
        <w:bidi/>
        <w:rPr>
          <w:rFonts w:asciiTheme="majorBidi" w:eastAsia="Times New Roman" w:hAnsiTheme="majorBidi" w:cstheme="majorBidi"/>
          <w:i/>
          <w:iCs/>
          <w:sz w:val="28"/>
          <w:szCs w:val="28"/>
        </w:rPr>
      </w:pPr>
      <w:r w:rsidRPr="007136BA">
        <w:rPr>
          <w:rFonts w:asciiTheme="majorBidi" w:eastAsia="Times New Roman" w:hAnsiTheme="majorBidi" w:cstheme="majorBidi"/>
          <w:i/>
          <w:iCs/>
          <w:sz w:val="28"/>
          <w:szCs w:val="28"/>
          <w:rtl/>
        </w:rPr>
        <w:t>قسم الدعوة وأصول الدين</w:t>
      </w:r>
    </w:p>
    <w:p w:rsidR="00B5351C" w:rsidRPr="007136BA" w:rsidRDefault="00B5351C" w:rsidP="00B5351C">
      <w:pPr>
        <w:pStyle w:val="Affiliation"/>
        <w:bidi/>
        <w:rPr>
          <w:rFonts w:asciiTheme="majorBidi" w:eastAsia="Times New Roman" w:hAnsiTheme="majorBidi" w:cstheme="majorBidi"/>
          <w:i/>
          <w:iCs/>
          <w:sz w:val="28"/>
          <w:szCs w:val="28"/>
        </w:rPr>
      </w:pPr>
      <w:r w:rsidRPr="007136BA">
        <w:rPr>
          <w:rFonts w:asciiTheme="majorBidi" w:eastAsia="Times New Roman" w:hAnsiTheme="majorBidi" w:cstheme="majorBidi"/>
          <w:i/>
          <w:iCs/>
          <w:sz w:val="28"/>
          <w:szCs w:val="28"/>
          <w:rtl/>
        </w:rPr>
        <w:t>كلية العلوم الإسلامية – جامعة المدينة العالمية</w:t>
      </w:r>
    </w:p>
    <w:p w:rsidR="00B5351C" w:rsidRPr="007136BA" w:rsidRDefault="00B5351C" w:rsidP="00B5351C">
      <w:pPr>
        <w:pStyle w:val="Affiliation"/>
        <w:bidi/>
        <w:rPr>
          <w:rFonts w:asciiTheme="majorBidi" w:eastAsia="Times New Roman" w:hAnsiTheme="majorBidi" w:cstheme="majorBidi"/>
          <w:i/>
          <w:iCs/>
          <w:sz w:val="28"/>
          <w:szCs w:val="28"/>
          <w:rtl/>
        </w:rPr>
      </w:pPr>
      <w:r w:rsidRPr="007136BA">
        <w:rPr>
          <w:rFonts w:asciiTheme="majorBidi" w:eastAsia="Times New Roman" w:hAnsiTheme="majorBidi" w:cstheme="majorBidi"/>
          <w:i/>
          <w:iCs/>
          <w:sz w:val="28"/>
          <w:szCs w:val="28"/>
          <w:rtl/>
        </w:rPr>
        <w:t>شاه علم - ماليزيا</w:t>
      </w:r>
    </w:p>
    <w:p w:rsidR="00B5351C" w:rsidRPr="007136BA" w:rsidRDefault="007136BA" w:rsidP="007136BA">
      <w:pPr>
        <w:pStyle w:val="Affiliation"/>
        <w:bidi/>
        <w:rPr>
          <w:rFonts w:asciiTheme="majorBidi" w:eastAsia="Times New Roman" w:hAnsiTheme="majorBidi" w:cstheme="majorBidi" w:hint="cs"/>
          <w:i/>
          <w:iCs/>
          <w:sz w:val="28"/>
          <w:szCs w:val="28"/>
          <w:rtl/>
        </w:rPr>
      </w:pPr>
      <w:hyperlink r:id="rId7" w:history="1">
        <w:r w:rsidRPr="007136BA">
          <w:rPr>
            <w:rFonts w:asciiTheme="majorBidi" w:eastAsia="Times New Roman" w:hAnsiTheme="majorBidi" w:cstheme="majorBidi"/>
            <w:i/>
            <w:iCs/>
            <w:sz w:val="28"/>
            <w:szCs w:val="28"/>
          </w:rPr>
          <w:t>fatma.alsayed@mediu.ws</w:t>
        </w:r>
      </w:hyperlink>
    </w:p>
    <w:p w:rsidR="007136BA" w:rsidRDefault="007136BA" w:rsidP="00B5351C">
      <w:pPr>
        <w:tabs>
          <w:tab w:val="left" w:pos="4050"/>
        </w:tabs>
        <w:jc w:val="center"/>
        <w:rPr>
          <w:rFonts w:hint="cs"/>
          <w:b/>
          <w:bCs/>
          <w:sz w:val="28"/>
          <w:szCs w:val="28"/>
          <w:rtl/>
          <w:lang w:bidi="ar-EG"/>
        </w:rPr>
      </w:pPr>
    </w:p>
    <w:p w:rsidR="007136BA" w:rsidRPr="00FE0D55" w:rsidRDefault="007136BA" w:rsidP="00B5351C">
      <w:pPr>
        <w:tabs>
          <w:tab w:val="left" w:pos="4050"/>
        </w:tabs>
        <w:jc w:val="center"/>
        <w:rPr>
          <w:rFonts w:asciiTheme="majorBidi" w:hAnsiTheme="majorBidi" w:cstheme="majorBidi"/>
          <w:b/>
          <w:bCs/>
          <w:i/>
          <w:iCs/>
          <w:sz w:val="18"/>
          <w:szCs w:val="18"/>
          <w:lang w:bidi="ar-EG"/>
        </w:rPr>
      </w:pPr>
    </w:p>
    <w:p w:rsidR="00B5351C" w:rsidRDefault="00B5351C" w:rsidP="00B5351C">
      <w:pPr>
        <w:rPr>
          <w:rFonts w:asciiTheme="majorBidi" w:hAnsiTheme="majorBidi" w:cstheme="majorBidi"/>
          <w:b/>
          <w:bCs/>
          <w:sz w:val="18"/>
          <w:szCs w:val="18"/>
          <w:rtl/>
        </w:rPr>
        <w:sectPr w:rsidR="00B5351C" w:rsidSect="00B5351C">
          <w:headerReference w:type="even" r:id="rId8"/>
          <w:pgSz w:w="11906" w:h="16838" w:code="9"/>
          <w:pgMar w:top="731" w:right="737" w:bottom="2432" w:left="737" w:header="720" w:footer="720" w:gutter="0"/>
          <w:cols w:space="720"/>
          <w:titlePg/>
          <w:bidi/>
          <w:rtlGutter/>
          <w:docGrid w:linePitch="360"/>
        </w:sectPr>
      </w:pPr>
    </w:p>
    <w:p w:rsidR="00B5351C" w:rsidRPr="00916DA5" w:rsidRDefault="00B5351C" w:rsidP="00B5351C">
      <w:pPr>
        <w:rPr>
          <w:rFonts w:asciiTheme="majorBidi" w:eastAsia="Calibri" w:hAnsiTheme="majorBidi" w:cstheme="majorBidi"/>
          <w:b/>
          <w:bCs/>
          <w:sz w:val="18"/>
          <w:szCs w:val="18"/>
          <w:rtl/>
        </w:rPr>
      </w:pPr>
      <w:r w:rsidRPr="00B5351C">
        <w:rPr>
          <w:rFonts w:asciiTheme="majorBidi" w:hAnsiTheme="majorBidi" w:cstheme="majorBidi" w:hint="cs"/>
          <w:b/>
          <w:bCs/>
          <w:sz w:val="18"/>
          <w:szCs w:val="18"/>
          <w:rtl/>
        </w:rPr>
        <w:lastRenderedPageBreak/>
        <w:t>خلاصة هذا البحث فى :</w:t>
      </w:r>
      <w:r w:rsidRPr="00B5351C">
        <w:rPr>
          <w:rFonts w:asciiTheme="majorBidi" w:eastAsia="Calibri" w:hAnsiTheme="majorBidi" w:cstheme="majorBidi"/>
          <w:b/>
          <w:bCs/>
          <w:sz w:val="18"/>
          <w:szCs w:val="18"/>
          <w:rtl/>
        </w:rPr>
        <w:t xml:space="preserve"> حكم إثبات الأقيسة في حق الله تعالى، وإثبات المثل الأعلى فيه</w:t>
      </w:r>
      <w:r>
        <w:rPr>
          <w:rFonts w:asciiTheme="majorBidi" w:eastAsia="Calibri" w:hAnsiTheme="majorBidi" w:cstheme="majorBidi"/>
          <w:b/>
          <w:bCs/>
          <w:sz w:val="18"/>
          <w:szCs w:val="18"/>
          <w:rtl/>
        </w:rPr>
        <w:tab/>
      </w:r>
    </w:p>
    <w:p w:rsidR="00B5351C" w:rsidRPr="00916DA5" w:rsidRDefault="00B5351C" w:rsidP="00B5351C">
      <w:pPr>
        <w:tabs>
          <w:tab w:val="center" w:pos="5244"/>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قياس ، الامور، تستوى</w:t>
      </w:r>
      <w:r>
        <w:rPr>
          <w:rFonts w:asciiTheme="majorBidi" w:eastAsia="Calibri" w:hAnsiTheme="majorBidi" w:cstheme="majorBidi"/>
          <w:b/>
          <w:bCs/>
          <w:sz w:val="18"/>
          <w:szCs w:val="18"/>
          <w:rtl/>
        </w:rPr>
        <w:tab/>
      </w:r>
    </w:p>
    <w:p w:rsidR="00B5351C" w:rsidRPr="00916DA5" w:rsidRDefault="00B5351C" w:rsidP="00B5351C">
      <w:pPr>
        <w:pStyle w:val="ListParagraph"/>
        <w:numPr>
          <w:ilvl w:val="0"/>
          <w:numId w:val="2"/>
        </w:numPr>
        <w:spacing w:after="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B5351C" w:rsidRPr="00916DA5" w:rsidRDefault="00B5351C" w:rsidP="00B5351C">
      <w:pPr>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B5351C">
        <w:rPr>
          <w:rFonts w:asciiTheme="majorBidi" w:eastAsia="Calibri" w:hAnsiTheme="majorBidi" w:cstheme="majorBidi"/>
          <w:b/>
          <w:bCs/>
          <w:sz w:val="18"/>
          <w:szCs w:val="18"/>
          <w:rtl/>
        </w:rPr>
        <w:t>حكم إثبات الأقيسة في حق الله تعالى، وإثبات المثل الأعلى فيه</w:t>
      </w:r>
    </w:p>
    <w:p w:rsidR="00B5351C" w:rsidRPr="00B5351C" w:rsidRDefault="00B5351C" w:rsidP="00F2762B">
      <w:pPr>
        <w:pStyle w:val="ListParagraph"/>
        <w:numPr>
          <w:ilvl w:val="0"/>
          <w:numId w:val="3"/>
        </w:numPr>
        <w:spacing w:after="0"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w:t>
      </w:r>
      <w:r w:rsidR="00F2762B">
        <w:rPr>
          <w:rFonts w:asciiTheme="majorBidi" w:hAnsiTheme="majorBidi" w:cstheme="majorBidi" w:hint="cs"/>
          <w:b/>
          <w:bCs/>
          <w:i/>
          <w:iCs/>
          <w:sz w:val="20"/>
          <w:szCs w:val="20"/>
          <w:rtl/>
        </w:rPr>
        <w:t>موضوع المقالة</w:t>
      </w:r>
    </w:p>
    <w:p w:rsidR="00B5351C" w:rsidRPr="00B5351C" w:rsidRDefault="00B5351C" w:rsidP="00B5351C">
      <w:pPr>
        <w:widowControl w:val="0"/>
        <w:jc w:val="lowKashida"/>
        <w:rPr>
          <w:rFonts w:ascii="Tahoma" w:hAnsi="Tahoma"/>
          <w:sz w:val="18"/>
          <w:szCs w:val="18"/>
        </w:rPr>
      </w:pPr>
      <w:r w:rsidRPr="00B5351C">
        <w:rPr>
          <w:rFonts w:ascii="Tahoma" w:hAnsi="Tahoma"/>
          <w:sz w:val="18"/>
          <w:szCs w:val="18"/>
          <w:rtl/>
          <w:lang w:bidi="ar-EG"/>
        </w:rPr>
        <w:t xml:space="preserve">اعلم أنه لا يجوز قياس الله </w:t>
      </w:r>
      <w:r w:rsidRPr="00B5351C">
        <w:rPr>
          <w:rFonts w:ascii="Tahoma" w:hAnsi="Tahoma" w:cs="Traditional Arabic"/>
          <w:sz w:val="18"/>
          <w:szCs w:val="18"/>
          <w:rtl/>
          <w:lang w:bidi="ar-EG"/>
        </w:rPr>
        <w:t>-</w:t>
      </w:r>
      <w:r w:rsidRPr="00B5351C">
        <w:rPr>
          <w:rFonts w:ascii="Tahoma" w:hAnsi="Tahoma"/>
          <w:sz w:val="18"/>
          <w:szCs w:val="18"/>
          <w:rtl/>
          <w:lang w:bidi="ar-EG"/>
        </w:rPr>
        <w:t>تعالى</w:t>
      </w:r>
      <w:r w:rsidRPr="00B5351C">
        <w:rPr>
          <w:rFonts w:ascii="Tahoma" w:hAnsi="Tahoma" w:cs="Traditional Arabic"/>
          <w:sz w:val="18"/>
          <w:szCs w:val="18"/>
          <w:rtl/>
          <w:lang w:bidi="ar-EG"/>
        </w:rPr>
        <w:t>-</w:t>
      </w:r>
      <w:r w:rsidRPr="00B5351C">
        <w:rPr>
          <w:rFonts w:ascii="Tahoma" w:hAnsi="Tahoma"/>
          <w:sz w:val="18"/>
          <w:szCs w:val="18"/>
          <w:rtl/>
          <w:lang w:bidi="ar-EG"/>
        </w:rPr>
        <w:t xml:space="preserve"> بخلقه في أمر من الأمور، ومما يوضح هذا أن العلم الإلهي لا يجوز أن يستدل فيه بقياس تمثيل يستوي فيه الأصل والفرع، ولا بقياس شمول تستوي فيه أفراده، فإن الله </w:t>
      </w:r>
      <w:r w:rsidRPr="00B5351C">
        <w:rPr>
          <w:rFonts w:ascii="Tahoma" w:hAnsi="Tahoma" w:cs="Traditional Arabic"/>
          <w:sz w:val="18"/>
          <w:szCs w:val="18"/>
          <w:rtl/>
          <w:lang w:bidi="ar-EG"/>
        </w:rPr>
        <w:t>-</w:t>
      </w:r>
      <w:r w:rsidRPr="00B5351C">
        <w:rPr>
          <w:rFonts w:ascii="Tahoma" w:hAnsi="Tahoma"/>
          <w:sz w:val="18"/>
          <w:szCs w:val="18"/>
          <w:rtl/>
          <w:lang w:bidi="ar-EG"/>
        </w:rPr>
        <w:t>تعالى</w:t>
      </w:r>
      <w:r w:rsidRPr="00B5351C">
        <w:rPr>
          <w:rFonts w:ascii="Tahoma" w:hAnsi="Tahoma" w:cs="Traditional Arabic"/>
          <w:sz w:val="18"/>
          <w:szCs w:val="18"/>
          <w:rtl/>
          <w:lang w:bidi="ar-EG"/>
        </w:rPr>
        <w:t>-</w:t>
      </w:r>
      <w:r w:rsidRPr="00B5351C">
        <w:rPr>
          <w:rFonts w:ascii="Tahoma" w:hAnsi="Tahoma"/>
          <w:sz w:val="18"/>
          <w:szCs w:val="18"/>
          <w:rtl/>
          <w:lang w:bidi="ar-EG"/>
        </w:rPr>
        <w:t xml:space="preserve"> ليس كمثله شيء، فلا يجوز أن يمثل بغيره، ولا يجوز أن يدخل هو وغيره تحت قضية كلية تستوي أفرادها، ولكن يستعمل في ذلك قياس الأولى سواء كان تمثيلًا أو شمولًا، كما قال </w:t>
      </w:r>
      <w:r w:rsidRPr="00B5351C">
        <w:rPr>
          <w:rFonts w:ascii="Tahoma" w:hAnsi="Tahoma" w:cs="Traditional Arabic"/>
          <w:sz w:val="18"/>
          <w:szCs w:val="18"/>
          <w:rtl/>
          <w:lang w:bidi="ar-EG"/>
        </w:rPr>
        <w:t>-</w:t>
      </w:r>
      <w:r w:rsidRPr="00B5351C">
        <w:rPr>
          <w:rFonts w:ascii="Tahoma" w:hAnsi="Tahoma"/>
          <w:sz w:val="18"/>
          <w:szCs w:val="18"/>
          <w:rtl/>
          <w:lang w:bidi="ar-EG"/>
        </w:rPr>
        <w:t>تعالى</w:t>
      </w:r>
      <w:r w:rsidRPr="00B5351C">
        <w:rPr>
          <w:rFonts w:ascii="Tahoma" w:hAnsi="Tahoma" w:cs="Traditional Arabic"/>
          <w:sz w:val="18"/>
          <w:szCs w:val="18"/>
          <w:rtl/>
          <w:lang w:bidi="ar-EG"/>
        </w:rPr>
        <w:t>-</w:t>
      </w:r>
      <w:r w:rsidRPr="00B5351C">
        <w:rPr>
          <w:rFonts w:ascii="Tahoma" w:hAnsi="Tahoma"/>
          <w:sz w:val="18"/>
          <w:szCs w:val="18"/>
          <w:rtl/>
          <w:lang w:bidi="ar-EG"/>
        </w:rPr>
        <w:t xml:space="preserve">: </w:t>
      </w:r>
      <w:r w:rsidRPr="00B5351C">
        <w:rPr>
          <w:rFonts w:ascii="Tahoma" w:hAnsi="Tahoma" w:cs="DecoType Thuluth"/>
          <w:sz w:val="18"/>
          <w:szCs w:val="18"/>
          <w:rtl/>
          <w:lang w:bidi="ar-EG"/>
        </w:rPr>
        <w:t>{</w:t>
      </w:r>
      <w:r w:rsidRPr="00B5351C">
        <w:rPr>
          <w:rFonts w:ascii="QCF_P273" w:hAnsi="QCF_P273" w:cs="QCF_P273"/>
          <w:sz w:val="18"/>
          <w:szCs w:val="18"/>
          <w:rtl/>
        </w:rPr>
        <w:t>ﮘ ﮙ ﮚ</w:t>
      </w:r>
      <w:r w:rsidRPr="00B5351C">
        <w:rPr>
          <w:rFonts w:ascii="QCF_P273" w:hAnsi="QCF_P273" w:cs="DecoType Thuluth"/>
          <w:sz w:val="18"/>
          <w:szCs w:val="18"/>
          <w:rtl/>
        </w:rPr>
        <w:t>}</w:t>
      </w:r>
      <w:r w:rsidRPr="00B5351C">
        <w:rPr>
          <w:rFonts w:ascii="Tahoma" w:hAnsi="Tahoma"/>
          <w:sz w:val="18"/>
          <w:szCs w:val="18"/>
          <w:rtl/>
          <w:lang w:bidi="ar-EG"/>
        </w:rPr>
        <w:t xml:space="preserve"> [النحل: 60].</w:t>
      </w:r>
    </w:p>
    <w:p w:rsidR="00B5351C" w:rsidRPr="00B5351C" w:rsidRDefault="00B5351C" w:rsidP="00B5351C">
      <w:pPr>
        <w:jc w:val="lowKashida"/>
        <w:rPr>
          <w:rFonts w:ascii="Tahoma" w:hAnsi="Tahoma"/>
          <w:sz w:val="18"/>
          <w:szCs w:val="18"/>
        </w:rPr>
      </w:pPr>
      <w:r w:rsidRPr="00B5351C">
        <w:rPr>
          <w:rFonts w:ascii="Tahoma" w:hAnsi="Tahoma"/>
          <w:sz w:val="18"/>
          <w:szCs w:val="18"/>
          <w:rtl/>
          <w:lang w:bidi="ar-EG"/>
        </w:rPr>
        <w:t xml:space="preserve">ولا شك أن أعظم المطالب العلم بالله </w:t>
      </w:r>
      <w:r w:rsidRPr="00B5351C">
        <w:rPr>
          <w:rFonts w:ascii="Tahoma" w:hAnsi="Tahoma" w:cs="Traditional Arabic"/>
          <w:sz w:val="18"/>
          <w:szCs w:val="18"/>
          <w:rtl/>
          <w:lang w:bidi="ar-EG"/>
        </w:rPr>
        <w:t>-</w:t>
      </w:r>
      <w:r w:rsidRPr="00B5351C">
        <w:rPr>
          <w:rFonts w:ascii="Tahoma" w:hAnsi="Tahoma"/>
          <w:sz w:val="18"/>
          <w:szCs w:val="18"/>
          <w:rtl/>
          <w:lang w:bidi="ar-EG"/>
        </w:rPr>
        <w:t>تعالى</w:t>
      </w:r>
      <w:r w:rsidRPr="00B5351C">
        <w:rPr>
          <w:rFonts w:ascii="Tahoma" w:hAnsi="Tahoma" w:cs="Traditional Arabic"/>
          <w:sz w:val="18"/>
          <w:szCs w:val="18"/>
          <w:rtl/>
          <w:lang w:bidi="ar-EG"/>
        </w:rPr>
        <w:t>-</w:t>
      </w:r>
      <w:r w:rsidRPr="00B5351C">
        <w:rPr>
          <w:rFonts w:ascii="Tahoma" w:hAnsi="Tahoma"/>
          <w:sz w:val="18"/>
          <w:szCs w:val="18"/>
          <w:rtl/>
          <w:lang w:bidi="ar-EG"/>
        </w:rPr>
        <w:t xml:space="preserve">، وصفاته، وأفعاله، وأمره، ونهيه، وهذا كله لا تنال خصائصه لا بقياس الشمول، ولا بقياس التمثيل، فإن الله </w:t>
      </w:r>
      <w:r w:rsidRPr="00B5351C">
        <w:rPr>
          <w:rFonts w:ascii="Tahoma" w:hAnsi="Tahoma" w:cs="Traditional Arabic"/>
          <w:sz w:val="18"/>
          <w:szCs w:val="18"/>
          <w:rtl/>
          <w:lang w:bidi="ar-EG"/>
        </w:rPr>
        <w:t>-</w:t>
      </w:r>
      <w:r w:rsidRPr="00B5351C">
        <w:rPr>
          <w:rFonts w:ascii="Tahoma" w:hAnsi="Tahoma"/>
          <w:sz w:val="18"/>
          <w:szCs w:val="18"/>
          <w:rtl/>
          <w:lang w:bidi="ar-EG"/>
        </w:rPr>
        <w:t>تعالى</w:t>
      </w:r>
      <w:r w:rsidRPr="00B5351C">
        <w:rPr>
          <w:rFonts w:ascii="Tahoma" w:hAnsi="Tahoma" w:cs="Traditional Arabic"/>
          <w:sz w:val="18"/>
          <w:szCs w:val="18"/>
          <w:rtl/>
          <w:lang w:bidi="ar-EG"/>
        </w:rPr>
        <w:t>-</w:t>
      </w:r>
      <w:r w:rsidRPr="00B5351C">
        <w:rPr>
          <w:rFonts w:ascii="Tahoma" w:hAnsi="Tahoma"/>
          <w:sz w:val="18"/>
          <w:szCs w:val="18"/>
          <w:rtl/>
          <w:lang w:bidi="ar-EG"/>
        </w:rPr>
        <w:t xml:space="preserve"> لا مثل له فيقاس به، ولا يدخل هو وغيره تحت قضية كلية تستوي أفرادها، فلهذا كانت طريقة القرآن، وهي طريقة السلف والأئمة أنهم لا يستعملون في الإلهيات قياس تمثيل، وقياس شمول تستوي أفراده، بل يستعملون من هذا وهذا قياس الأولى، فإن الله له المثل الأعلى.</w:t>
      </w:r>
    </w:p>
    <w:p w:rsidR="00B5351C" w:rsidRPr="00B5351C" w:rsidRDefault="00B5351C" w:rsidP="00B5351C">
      <w:pPr>
        <w:jc w:val="lowKashida"/>
        <w:rPr>
          <w:rFonts w:ascii="Tahoma" w:hAnsi="Tahoma"/>
          <w:spacing w:val="-4"/>
          <w:sz w:val="18"/>
          <w:szCs w:val="18"/>
        </w:rPr>
      </w:pPr>
      <w:r w:rsidRPr="00B5351C">
        <w:rPr>
          <w:rFonts w:ascii="Tahoma" w:hAnsi="Tahoma"/>
          <w:spacing w:val="-4"/>
          <w:sz w:val="18"/>
          <w:szCs w:val="18"/>
          <w:rtl/>
          <w:lang w:bidi="ar-EG"/>
        </w:rPr>
        <w:t>وإنما ترك السلف قياس التمثيل وقياس الشمول في المطالب الإلهية؛ لأنها لا توصل إلا إلى الحيرة، والاضطراب، والشك، والارتياب، ولهذا لما سلك طوائف من المتفلسفة، والمتكلمة مثل هذه الأقيسة في المطالب الإلهية لم يصلوا بها إلى اليقين، بل تناقضت أدلتهم، وغلب عليهم بعد التناهي الحيرة، والاضطراب لما يرونه من فساد أدلتهم، وتكافئها.</w:t>
      </w:r>
      <w:r w:rsidRPr="00B5351C">
        <w:rPr>
          <w:rFonts w:ascii="Tahoma" w:hAnsi="Tahoma" w:hint="cs"/>
          <w:spacing w:val="-4"/>
          <w:sz w:val="18"/>
          <w:szCs w:val="18"/>
          <w:rtl/>
          <w:lang w:bidi="ar-EG"/>
        </w:rPr>
        <w:t xml:space="preserve"> </w:t>
      </w:r>
      <w:r w:rsidRPr="00B5351C">
        <w:rPr>
          <w:rFonts w:ascii="Tahoma" w:hAnsi="Tahoma"/>
          <w:spacing w:val="-4"/>
          <w:sz w:val="18"/>
          <w:szCs w:val="18"/>
          <w:rtl/>
          <w:lang w:bidi="ar-EG"/>
        </w:rPr>
        <w:t xml:space="preserve">فلا تحسبن أن العقول لو تركت وعلومها التي تستفيدها بمجرد النظر عرفت الله معرفة مفصلة بصفاته، وأسمائه على وجه اليقين، بل لا بد في معرفة الله </w:t>
      </w:r>
      <w:r w:rsidRPr="00B5351C">
        <w:rPr>
          <w:rFonts w:ascii="Tahoma" w:hAnsi="Tahoma" w:cs="Traditional Arabic"/>
          <w:spacing w:val="-4"/>
          <w:sz w:val="18"/>
          <w:szCs w:val="18"/>
          <w:rtl/>
          <w:lang w:bidi="ar-EG"/>
        </w:rPr>
        <w:t>-</w:t>
      </w:r>
      <w:r w:rsidRPr="00B5351C">
        <w:rPr>
          <w:rFonts w:ascii="Tahoma" w:hAnsi="Tahoma"/>
          <w:spacing w:val="-4"/>
          <w:sz w:val="18"/>
          <w:szCs w:val="18"/>
          <w:rtl/>
          <w:lang w:bidi="ar-EG"/>
        </w:rPr>
        <w:t>تعالى</w:t>
      </w:r>
      <w:r w:rsidRPr="00B5351C">
        <w:rPr>
          <w:rFonts w:ascii="Tahoma" w:hAnsi="Tahoma" w:cs="Traditional Arabic"/>
          <w:spacing w:val="-4"/>
          <w:sz w:val="18"/>
          <w:szCs w:val="18"/>
          <w:rtl/>
          <w:lang w:bidi="ar-EG"/>
        </w:rPr>
        <w:t>-</w:t>
      </w:r>
      <w:r w:rsidRPr="00B5351C">
        <w:rPr>
          <w:rFonts w:ascii="Tahoma" w:hAnsi="Tahoma"/>
          <w:spacing w:val="-4"/>
          <w:sz w:val="18"/>
          <w:szCs w:val="18"/>
          <w:rtl/>
          <w:lang w:bidi="ar-EG"/>
        </w:rPr>
        <w:t xml:space="preserve"> من الوحي الذي بعث به رسله.</w:t>
      </w:r>
    </w:p>
    <w:p w:rsidR="00B5351C" w:rsidRPr="00B5351C" w:rsidRDefault="00B5351C" w:rsidP="00B5351C">
      <w:pPr>
        <w:jc w:val="both"/>
        <w:rPr>
          <w:rFonts w:ascii="Tahoma" w:hAnsi="Tahoma"/>
          <w:sz w:val="18"/>
          <w:szCs w:val="18"/>
          <w:lang w:bidi="ar-EG"/>
        </w:rPr>
      </w:pPr>
      <w:r w:rsidRPr="00B5351C">
        <w:rPr>
          <w:rFonts w:ascii="Tahoma" w:hAnsi="Tahoma"/>
          <w:sz w:val="18"/>
          <w:szCs w:val="18"/>
          <w:rtl/>
          <w:lang w:bidi="ar-EG"/>
        </w:rPr>
        <w:t xml:space="preserve">أما قياس الأولى الذي كان يسلكه السلف اتباعًا للقرآن، فهو طريق فطري ضروري متفق عليه، يتضمن أن يثبت له من صفات الكمال التي لا نقص فيها أكمل مما علموه ثابتًا لغيره، وينزه عن كل نقص ينزه عنه غيره، ويذم به سواه. وبهذه الطريقة جاء القرآن، وهي طريقة سلف الأمة وأئمتها. فكل ما ثبت لغيره من الكمال الذي لا نقص فيه بوجه من الوجوه فهو أحق به، وما نزه عنه غيره من النقائص فهو أحق بالتنزيه منه كما </w:t>
      </w:r>
      <w:r w:rsidRPr="00B5351C">
        <w:rPr>
          <w:rFonts w:ascii="Tahoma" w:hAnsi="Tahoma"/>
          <w:sz w:val="18"/>
          <w:szCs w:val="18"/>
          <w:rtl/>
          <w:lang w:bidi="ar-EG"/>
        </w:rPr>
        <w:lastRenderedPageBreak/>
        <w:t xml:space="preserve">قال </w:t>
      </w:r>
      <w:r w:rsidRPr="00B5351C">
        <w:rPr>
          <w:rFonts w:ascii="Tahoma" w:hAnsi="Tahoma" w:cs="Traditional Arabic"/>
          <w:sz w:val="18"/>
          <w:szCs w:val="18"/>
          <w:rtl/>
          <w:lang w:bidi="ar-EG"/>
        </w:rPr>
        <w:t>-</w:t>
      </w:r>
      <w:r w:rsidRPr="00B5351C">
        <w:rPr>
          <w:rFonts w:ascii="Tahoma" w:hAnsi="Tahoma"/>
          <w:sz w:val="18"/>
          <w:szCs w:val="18"/>
          <w:rtl/>
          <w:lang w:bidi="ar-EG"/>
        </w:rPr>
        <w:t>تعالى</w:t>
      </w:r>
      <w:r w:rsidRPr="00B5351C">
        <w:rPr>
          <w:rFonts w:ascii="Tahoma" w:hAnsi="Tahoma" w:cs="Traditional Arabic"/>
          <w:sz w:val="18"/>
          <w:szCs w:val="18"/>
          <w:rtl/>
          <w:lang w:bidi="ar-EG"/>
        </w:rPr>
        <w:t>-</w:t>
      </w:r>
      <w:r w:rsidRPr="00B5351C">
        <w:rPr>
          <w:rFonts w:ascii="Tahoma" w:hAnsi="Tahoma"/>
          <w:sz w:val="18"/>
          <w:szCs w:val="18"/>
          <w:rtl/>
          <w:lang w:bidi="ar-EG"/>
        </w:rPr>
        <w:t xml:space="preserve">: </w:t>
      </w:r>
      <w:r w:rsidRPr="00B5351C">
        <w:rPr>
          <w:rFonts w:ascii="Tahoma" w:hAnsi="Tahoma" w:cs="DecoType Thuluth"/>
          <w:sz w:val="18"/>
          <w:szCs w:val="18"/>
          <w:rtl/>
          <w:lang w:bidi="ar-EG"/>
        </w:rPr>
        <w:t>{</w:t>
      </w:r>
      <w:r w:rsidRPr="00B5351C">
        <w:rPr>
          <w:rFonts w:ascii="QCF_P273" w:hAnsi="QCF_P273" w:cs="QCF_P273"/>
          <w:sz w:val="18"/>
          <w:szCs w:val="18"/>
          <w:rtl/>
        </w:rPr>
        <w:t>ﮑ ﮒ ﮓ ﮔ ﮕ ﮖ ﮗ ﮘ ﮙ ﮚ ﮛ</w:t>
      </w:r>
      <w:r w:rsidRPr="00B5351C">
        <w:rPr>
          <w:rFonts w:ascii="QCF_P273" w:hAnsi="QCF_P273" w:cs="DecoType Thuluth"/>
          <w:sz w:val="18"/>
          <w:szCs w:val="18"/>
          <w:rtl/>
        </w:rPr>
        <w:t>}</w:t>
      </w:r>
      <w:r w:rsidRPr="00B5351C">
        <w:rPr>
          <w:rFonts w:ascii="Tahoma" w:hAnsi="Tahoma"/>
          <w:sz w:val="18"/>
          <w:szCs w:val="18"/>
          <w:rtl/>
          <w:lang w:bidi="ar-EG"/>
        </w:rPr>
        <w:t xml:space="preserve"> [النحل: 60]، وقال </w:t>
      </w:r>
      <w:r w:rsidRPr="00B5351C">
        <w:rPr>
          <w:rFonts w:ascii="Tahoma" w:hAnsi="Tahoma" w:cs="Traditional Arabic"/>
          <w:sz w:val="18"/>
          <w:szCs w:val="18"/>
          <w:rtl/>
          <w:lang w:bidi="ar-EG"/>
        </w:rPr>
        <w:t>-</w:t>
      </w:r>
      <w:r w:rsidRPr="00B5351C">
        <w:rPr>
          <w:rFonts w:ascii="Tahoma" w:hAnsi="Tahoma"/>
          <w:sz w:val="18"/>
          <w:szCs w:val="18"/>
          <w:rtl/>
          <w:lang w:bidi="ar-EG"/>
        </w:rPr>
        <w:t>تعالى</w:t>
      </w:r>
      <w:r w:rsidRPr="00B5351C">
        <w:rPr>
          <w:rFonts w:ascii="Tahoma" w:hAnsi="Tahoma" w:cs="Traditional Arabic"/>
          <w:sz w:val="18"/>
          <w:szCs w:val="18"/>
          <w:rtl/>
          <w:lang w:bidi="ar-EG"/>
        </w:rPr>
        <w:t>-</w:t>
      </w:r>
      <w:r w:rsidRPr="00B5351C">
        <w:rPr>
          <w:rFonts w:ascii="Tahoma" w:hAnsi="Tahoma"/>
          <w:sz w:val="18"/>
          <w:szCs w:val="18"/>
          <w:rtl/>
          <w:lang w:bidi="ar-EG"/>
        </w:rPr>
        <w:t xml:space="preserve">: </w:t>
      </w:r>
      <w:r w:rsidRPr="00B5351C">
        <w:rPr>
          <w:rFonts w:ascii="Tahoma" w:hAnsi="Tahoma" w:cs="DecoType Thuluth"/>
          <w:sz w:val="18"/>
          <w:szCs w:val="18"/>
          <w:rtl/>
          <w:lang w:bidi="ar-EG"/>
        </w:rPr>
        <w:t>{</w:t>
      </w:r>
      <w:r w:rsidRPr="00B5351C">
        <w:rPr>
          <w:rFonts w:ascii="QCF_P407" w:hAnsi="QCF_P407" w:cs="QCF_P407"/>
          <w:sz w:val="18"/>
          <w:szCs w:val="18"/>
          <w:rtl/>
        </w:rPr>
        <w:t>ﮂ ﮃ ﮄ ﮅ ﮆ ﮇ ﮈ ﮉ ﮊ ﮋ ﮌ ﮍ ﮎ ﮏ ﮐ ﮑ ﮒ ﮓ ﮔ ﮕ ﮖ ﮗ ﮘ</w:t>
      </w:r>
      <w:r w:rsidRPr="00B5351C">
        <w:rPr>
          <w:rFonts w:ascii="QCF_P407" w:hAnsi="QCF_P407" w:cs="DecoType Thuluth"/>
          <w:sz w:val="18"/>
          <w:szCs w:val="18"/>
          <w:rtl/>
        </w:rPr>
        <w:t>}</w:t>
      </w:r>
      <w:r w:rsidRPr="00B5351C">
        <w:rPr>
          <w:rFonts w:ascii="Tahoma" w:hAnsi="Tahoma"/>
          <w:sz w:val="18"/>
          <w:szCs w:val="18"/>
          <w:rtl/>
          <w:lang w:bidi="ar-EG"/>
        </w:rPr>
        <w:t xml:space="preserve"> [الروم: 28]".</w:t>
      </w:r>
    </w:p>
    <w:p w:rsidR="00B5351C" w:rsidRPr="00B5351C" w:rsidRDefault="00B5351C" w:rsidP="00B5351C">
      <w:pPr>
        <w:jc w:val="center"/>
        <w:rPr>
          <w:rFonts w:asciiTheme="majorBidi" w:hAnsiTheme="majorBidi" w:cstheme="majorBidi"/>
          <w:sz w:val="18"/>
          <w:szCs w:val="18"/>
          <w:rtl/>
        </w:rPr>
      </w:pPr>
    </w:p>
    <w:p w:rsidR="00B5351C" w:rsidRDefault="00B5351C" w:rsidP="00B5351C">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B5351C" w:rsidRPr="00785C26" w:rsidRDefault="00B5351C" w:rsidP="00B5351C">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B5351C" w:rsidRPr="00785C26" w:rsidRDefault="00B5351C" w:rsidP="00B5351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B5351C" w:rsidRDefault="00B5351C" w:rsidP="00B5351C">
      <w:pPr>
        <w:jc w:val="center"/>
        <w:rPr>
          <w:rFonts w:asciiTheme="majorBidi" w:hAnsiTheme="majorBidi" w:cstheme="majorBidi"/>
          <w:b/>
          <w:bCs/>
          <w:sz w:val="18"/>
          <w:szCs w:val="18"/>
          <w:rtl/>
          <w:lang w:bidi="ar-EG"/>
        </w:rPr>
        <w:sectPr w:rsidR="00B5351C" w:rsidSect="00B5351C">
          <w:type w:val="continuous"/>
          <w:pgSz w:w="11906" w:h="16838" w:code="9"/>
          <w:pgMar w:top="731" w:right="737" w:bottom="2432" w:left="737" w:header="720" w:footer="720" w:gutter="0"/>
          <w:cols w:num="2" w:space="720" w:equalWidth="0">
            <w:col w:w="4856" w:space="720"/>
            <w:col w:w="4856"/>
          </w:cols>
          <w:titlePg/>
          <w:bidi/>
          <w:rtlGutter/>
          <w:docGrid w:linePitch="360"/>
        </w:sectPr>
      </w:pPr>
    </w:p>
    <w:p w:rsidR="00B5351C" w:rsidRPr="00785C26" w:rsidRDefault="00B5351C" w:rsidP="00B5351C">
      <w:pPr>
        <w:jc w:val="center"/>
        <w:rPr>
          <w:rFonts w:asciiTheme="majorBidi" w:hAnsiTheme="majorBidi" w:cstheme="majorBidi"/>
          <w:b/>
          <w:bCs/>
          <w:sz w:val="18"/>
          <w:szCs w:val="18"/>
          <w:rtl/>
          <w:lang w:bidi="ar-EG"/>
        </w:rPr>
      </w:pPr>
    </w:p>
    <w:p w:rsidR="00B5351C" w:rsidRDefault="00B5351C" w:rsidP="00B5351C">
      <w:pPr>
        <w:rPr>
          <w:lang w:bidi="ar-EG"/>
        </w:rPr>
      </w:pPr>
    </w:p>
    <w:p w:rsidR="00B5351C" w:rsidRPr="00B5351C" w:rsidRDefault="00B5351C" w:rsidP="00B5351C">
      <w:pPr>
        <w:spacing w:after="120" w:line="500" w:lineRule="exact"/>
        <w:jc w:val="center"/>
        <w:rPr>
          <w:rFonts w:ascii="Tahoma" w:hAnsi="Tahoma"/>
          <w:b/>
          <w:bCs/>
          <w:sz w:val="32"/>
          <w:szCs w:val="32"/>
          <w:rtl/>
          <w:lang w:bidi="ar-EG"/>
        </w:rPr>
        <w:sectPr w:rsidR="00B5351C" w:rsidRPr="00B5351C" w:rsidSect="00B5351C">
          <w:type w:val="continuous"/>
          <w:pgSz w:w="11906" w:h="16838" w:code="9"/>
          <w:pgMar w:top="731" w:right="737" w:bottom="2432" w:left="737" w:header="720" w:footer="720" w:gutter="0"/>
          <w:cols w:space="720"/>
          <w:titlePg/>
          <w:bidi/>
          <w:rtlGutter/>
          <w:docGrid w:linePitch="360"/>
        </w:sectPr>
      </w:pPr>
    </w:p>
    <w:p w:rsidR="00B5351C" w:rsidRPr="00B5351C" w:rsidRDefault="00B5351C" w:rsidP="00B5351C">
      <w:pPr>
        <w:spacing w:before="60" w:after="200"/>
        <w:jc w:val="center"/>
        <w:rPr>
          <w:rFonts w:asciiTheme="majorBidi" w:eastAsia="Calibri" w:hAnsiTheme="majorBidi" w:cstheme="majorBidi"/>
          <w:b/>
          <w:bCs/>
          <w:sz w:val="44"/>
          <w:szCs w:val="44"/>
          <w:lang w:bidi="ar-EG"/>
        </w:rPr>
      </w:pPr>
    </w:p>
    <w:p w:rsidR="004219C3" w:rsidRPr="00B5351C" w:rsidRDefault="004219C3"/>
    <w:sectPr w:rsidR="004219C3" w:rsidRPr="00B5351C"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3F3" w:rsidRDefault="001D33F3" w:rsidP="00B5351C">
      <w:r>
        <w:separator/>
      </w:r>
    </w:p>
  </w:endnote>
  <w:endnote w:type="continuationSeparator" w:id="1">
    <w:p w:rsidR="001D33F3" w:rsidRDefault="001D33F3" w:rsidP="00B53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QCF_P273">
    <w:altName w:val="Times New Roman"/>
    <w:charset w:val="00"/>
    <w:family w:val="auto"/>
    <w:pitch w:val="variable"/>
    <w:sig w:usb0="00000000" w:usb1="90000000" w:usb2="00000008" w:usb3="00000000" w:csb0="80000041" w:csb1="00000000"/>
  </w:font>
  <w:font w:name="QCF_P40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3F3" w:rsidRDefault="001D33F3" w:rsidP="00B5351C">
      <w:r>
        <w:separator/>
      </w:r>
    </w:p>
  </w:footnote>
  <w:footnote w:type="continuationSeparator" w:id="1">
    <w:p w:rsidR="001D33F3" w:rsidRDefault="001D33F3" w:rsidP="00B53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A9" w:rsidRDefault="006A0149">
    <w:pPr>
      <w:pStyle w:val="Header"/>
    </w:pPr>
    <w:r>
      <w:rPr>
        <w:noProof/>
      </w:rPr>
      <w:pict>
        <v:group id="_x0000_s1032" style="position:absolute;left:0;text-align:left;margin-left:3.7pt;margin-top:75.75pt;width:333.5pt;height:619.25pt;z-index:251661312"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9706A9" w:rsidRPr="00907733" w:rsidRDefault="006A0149" w:rsidP="00DD1510">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A279BE"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A279BE">
                    <w:rPr>
                      <w:rStyle w:val="PageNumber"/>
                      <w:rFonts w:cs="AL-Mateen"/>
                      <w:noProof/>
                      <w:color w:val="FFFFFF"/>
                      <w:sz w:val="40"/>
                      <w:szCs w:val="40"/>
                      <w:rtl/>
                    </w:rPr>
                    <w:t>170</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توحيد الأسماء والصفات"/>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9706A9" w:rsidRPr="00E31343" w:rsidRDefault="001D33F3" w:rsidP="00DD1510">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الدرس الحادي عشر"/>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rules v:ext="edit">
        <o:r id="V:Rule2" type="connector" idref="#_x0000_s1035"/>
      </o:rules>
    </o:shapelayout>
  </w:hdrShapeDefaults>
  <w:footnotePr>
    <w:footnote w:id="0"/>
    <w:footnote w:id="1"/>
  </w:footnotePr>
  <w:endnotePr>
    <w:endnote w:id="0"/>
    <w:endnote w:id="1"/>
  </w:endnotePr>
  <w:compat/>
  <w:rsids>
    <w:rsidRoot w:val="00B5351C"/>
    <w:rsid w:val="001A2769"/>
    <w:rsid w:val="001D33F3"/>
    <w:rsid w:val="00261860"/>
    <w:rsid w:val="003834FC"/>
    <w:rsid w:val="004168A0"/>
    <w:rsid w:val="004219C3"/>
    <w:rsid w:val="006A0149"/>
    <w:rsid w:val="007136BA"/>
    <w:rsid w:val="0073536F"/>
    <w:rsid w:val="008165F0"/>
    <w:rsid w:val="00A279BE"/>
    <w:rsid w:val="00B5351C"/>
    <w:rsid w:val="00B72630"/>
    <w:rsid w:val="00D36942"/>
    <w:rsid w:val="00F276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1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351C"/>
    <w:pPr>
      <w:tabs>
        <w:tab w:val="center" w:pos="4153"/>
        <w:tab w:val="right" w:pos="8306"/>
      </w:tabs>
    </w:pPr>
  </w:style>
  <w:style w:type="character" w:customStyle="1" w:styleId="HeaderChar">
    <w:name w:val="Header Char"/>
    <w:basedOn w:val="DefaultParagraphFont"/>
    <w:link w:val="Header"/>
    <w:rsid w:val="00B5351C"/>
    <w:rPr>
      <w:rFonts w:ascii="Times New Roman" w:eastAsia="Times New Roman" w:hAnsi="Times New Roman" w:cs="Times New Roman"/>
      <w:sz w:val="24"/>
      <w:szCs w:val="24"/>
    </w:rPr>
  </w:style>
  <w:style w:type="character" w:styleId="PageNumber">
    <w:name w:val="page number"/>
    <w:basedOn w:val="DefaultParagraphFont"/>
    <w:rsid w:val="00B5351C"/>
  </w:style>
  <w:style w:type="paragraph" w:styleId="Footer">
    <w:name w:val="footer"/>
    <w:basedOn w:val="Normal"/>
    <w:link w:val="FooterChar"/>
    <w:uiPriority w:val="99"/>
    <w:semiHidden/>
    <w:unhideWhenUsed/>
    <w:rsid w:val="00B5351C"/>
    <w:pPr>
      <w:tabs>
        <w:tab w:val="center" w:pos="4153"/>
        <w:tab w:val="right" w:pos="8306"/>
      </w:tabs>
    </w:pPr>
  </w:style>
  <w:style w:type="character" w:customStyle="1" w:styleId="FooterChar">
    <w:name w:val="Footer Char"/>
    <w:basedOn w:val="DefaultParagraphFont"/>
    <w:link w:val="Footer"/>
    <w:uiPriority w:val="99"/>
    <w:semiHidden/>
    <w:rsid w:val="00B5351C"/>
    <w:rPr>
      <w:rFonts w:ascii="Times New Roman" w:eastAsia="Times New Roman" w:hAnsi="Times New Roman" w:cs="Times New Roman"/>
      <w:sz w:val="24"/>
      <w:szCs w:val="24"/>
    </w:rPr>
  </w:style>
  <w:style w:type="paragraph" w:customStyle="1" w:styleId="Affiliation">
    <w:name w:val="Affiliation"/>
    <w:rsid w:val="00B5351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5351C"/>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B5351C"/>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535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tma.alsayed@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Company>Fannan</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2013-06-23T07:20:00Z</dcterms:created>
  <dcterms:modified xsi:type="dcterms:W3CDTF">2013-06-25T10:09:00Z</dcterms:modified>
</cp:coreProperties>
</file>