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AD" w:rsidRDefault="00EA7CAD" w:rsidP="00EA7CAD">
      <w:pPr>
        <w:tabs>
          <w:tab w:val="left" w:pos="3071"/>
        </w:tabs>
        <w:spacing w:before="60"/>
        <w:ind w:firstLine="720"/>
        <w:jc w:val="center"/>
        <w:rPr>
          <w:rFonts w:asciiTheme="majorBidi" w:eastAsia="Calibri" w:hAnsiTheme="majorBidi" w:cstheme="majorBidi"/>
          <w:b/>
          <w:bCs/>
          <w:sz w:val="44"/>
          <w:szCs w:val="44"/>
          <w:rtl/>
        </w:rPr>
      </w:pPr>
      <w:r w:rsidRPr="00EA7CAD">
        <w:rPr>
          <w:rFonts w:asciiTheme="majorBidi" w:eastAsia="Calibri" w:hAnsiTheme="majorBidi" w:cstheme="majorBidi"/>
          <w:b/>
          <w:bCs/>
          <w:sz w:val="44"/>
          <w:szCs w:val="44"/>
          <w:rtl/>
        </w:rPr>
        <w:t>أقسام الصفات من حيث أدلة ثبوتها</w:t>
      </w:r>
    </w:p>
    <w:p w:rsidR="00EA7CAD" w:rsidRDefault="00EA7CAD" w:rsidP="00EA7CAD">
      <w:pPr>
        <w:jc w:val="center"/>
        <w:rPr>
          <w:rFonts w:asciiTheme="majorBidi" w:hAnsiTheme="majorBidi" w:cstheme="majorBidi" w:hint="cs"/>
          <w:b/>
          <w:bCs/>
          <w:i/>
          <w:iCs/>
          <w:sz w:val="28"/>
          <w:szCs w:val="28"/>
          <w:rtl/>
        </w:rPr>
      </w:pPr>
      <w:r w:rsidRPr="00413AAB">
        <w:rPr>
          <w:rFonts w:asciiTheme="majorBidi" w:hAnsiTheme="majorBidi" w:cstheme="majorBidi" w:hint="cs"/>
          <w:b/>
          <w:bCs/>
          <w:i/>
          <w:iCs/>
          <w:sz w:val="28"/>
          <w:szCs w:val="28"/>
          <w:rtl/>
        </w:rPr>
        <w:t>بحث فى : توحيد الصفات</w:t>
      </w:r>
    </w:p>
    <w:p w:rsidR="00CD5C73" w:rsidRPr="00413AAB" w:rsidRDefault="00CD5C73" w:rsidP="00EA7CAD">
      <w:pPr>
        <w:jc w:val="center"/>
        <w:rPr>
          <w:rFonts w:asciiTheme="majorBidi" w:eastAsia="Calibri" w:hAnsiTheme="majorBidi" w:cstheme="majorBidi"/>
          <w:b/>
          <w:bCs/>
          <w:i/>
          <w:iCs/>
          <w:color w:val="4F81BD"/>
          <w:sz w:val="28"/>
          <w:szCs w:val="28"/>
          <w:rtl/>
          <w:lang w:bidi="ar-EG"/>
        </w:rPr>
      </w:pPr>
    </w:p>
    <w:p w:rsidR="00EA7CAD" w:rsidRPr="00CD5C73" w:rsidRDefault="00EA7CAD" w:rsidP="00CD5C73">
      <w:pPr>
        <w:pStyle w:val="Author"/>
        <w:tabs>
          <w:tab w:val="left" w:pos="4366"/>
          <w:tab w:val="center" w:pos="5244"/>
        </w:tabs>
        <w:bidi/>
        <w:spacing w:before="0" w:after="0"/>
        <w:rPr>
          <w:rFonts w:asciiTheme="majorBidi" w:eastAsia="Times New Roman" w:hAnsiTheme="majorBidi" w:cstheme="majorBidi"/>
          <w:i/>
          <w:iCs/>
          <w:sz w:val="28"/>
          <w:szCs w:val="28"/>
        </w:rPr>
      </w:pPr>
      <w:r w:rsidRPr="00CD5C73">
        <w:rPr>
          <w:rFonts w:asciiTheme="majorBidi" w:hAnsiTheme="majorBidi" w:cstheme="majorBidi"/>
          <w:i/>
          <w:iCs/>
          <w:sz w:val="28"/>
          <w:szCs w:val="28"/>
          <w:rtl/>
        </w:rPr>
        <w:t>إعداد /</w:t>
      </w:r>
      <w:r w:rsidR="00CD5C73" w:rsidRPr="00CD5C73">
        <w:rPr>
          <w:sz w:val="28"/>
          <w:szCs w:val="28"/>
          <w:rtl/>
          <w:lang w:bidi="ar-EG"/>
        </w:rPr>
        <w:t xml:space="preserve"> فاطمة السيد العشري</w:t>
      </w:r>
    </w:p>
    <w:p w:rsidR="00EA7CAD" w:rsidRPr="00CD5C73" w:rsidRDefault="00EA7CAD" w:rsidP="00EA7CAD">
      <w:pPr>
        <w:pStyle w:val="Affiliation"/>
        <w:bidi/>
        <w:rPr>
          <w:rFonts w:asciiTheme="majorBidi" w:eastAsia="Times New Roman" w:hAnsiTheme="majorBidi" w:cstheme="majorBidi"/>
          <w:i/>
          <w:iCs/>
          <w:sz w:val="28"/>
          <w:szCs w:val="28"/>
        </w:rPr>
      </w:pPr>
      <w:r w:rsidRPr="00CD5C73">
        <w:rPr>
          <w:rFonts w:asciiTheme="majorBidi" w:hAnsiTheme="majorBidi" w:cstheme="majorBidi"/>
          <w:i/>
          <w:iCs/>
          <w:sz w:val="28"/>
          <w:szCs w:val="28"/>
          <w:rtl/>
        </w:rPr>
        <w:t>قسم الدعوة وأصول الدين</w:t>
      </w:r>
    </w:p>
    <w:p w:rsidR="00EA7CAD" w:rsidRPr="00CD5C73" w:rsidRDefault="00EA7CAD" w:rsidP="00EA7CAD">
      <w:pPr>
        <w:pStyle w:val="Affiliation"/>
        <w:bidi/>
        <w:rPr>
          <w:rFonts w:asciiTheme="majorBidi" w:hAnsiTheme="majorBidi" w:cstheme="majorBidi"/>
          <w:i/>
          <w:iCs/>
          <w:sz w:val="28"/>
          <w:szCs w:val="28"/>
        </w:rPr>
      </w:pPr>
      <w:r w:rsidRPr="00CD5C73">
        <w:rPr>
          <w:rFonts w:asciiTheme="majorBidi" w:hAnsiTheme="majorBidi" w:cstheme="majorBidi"/>
          <w:i/>
          <w:iCs/>
          <w:sz w:val="28"/>
          <w:szCs w:val="28"/>
          <w:rtl/>
        </w:rPr>
        <w:t>كلية العلوم الإسلامية – جامعة المدينة العالمية</w:t>
      </w:r>
    </w:p>
    <w:p w:rsidR="00EA7CAD" w:rsidRPr="00CD5C73" w:rsidRDefault="00EA7CAD" w:rsidP="00EA7CAD">
      <w:pPr>
        <w:pStyle w:val="Affiliation"/>
        <w:tabs>
          <w:tab w:val="left" w:pos="3611"/>
          <w:tab w:val="center" w:pos="4153"/>
        </w:tabs>
        <w:bidi/>
        <w:rPr>
          <w:rFonts w:asciiTheme="majorBidi" w:hAnsiTheme="majorBidi" w:cstheme="majorBidi"/>
          <w:i/>
          <w:iCs/>
          <w:sz w:val="28"/>
          <w:szCs w:val="28"/>
          <w:rtl/>
        </w:rPr>
      </w:pPr>
      <w:r w:rsidRPr="00CD5C73">
        <w:rPr>
          <w:rFonts w:asciiTheme="majorBidi" w:hAnsiTheme="majorBidi" w:cstheme="majorBidi"/>
          <w:i/>
          <w:iCs/>
          <w:sz w:val="28"/>
          <w:szCs w:val="28"/>
          <w:rtl/>
        </w:rPr>
        <w:t>شاه علم - ماليزيا</w:t>
      </w:r>
    </w:p>
    <w:p w:rsidR="00EA7CAD" w:rsidRPr="00CD5C73" w:rsidRDefault="00CD5C73" w:rsidP="00EA7CAD">
      <w:pPr>
        <w:tabs>
          <w:tab w:val="left" w:pos="4050"/>
        </w:tabs>
        <w:jc w:val="center"/>
        <w:rPr>
          <w:rFonts w:asciiTheme="majorBidi" w:eastAsia="SimSun" w:hAnsiTheme="majorBidi" w:cstheme="majorBidi" w:hint="cs"/>
          <w:b/>
          <w:bCs/>
          <w:i/>
          <w:iCs/>
          <w:sz w:val="28"/>
          <w:szCs w:val="28"/>
          <w:rtl/>
          <w:lang w:eastAsia="zh-CN"/>
        </w:rPr>
      </w:pPr>
      <w:hyperlink r:id="rId5" w:history="1">
        <w:r w:rsidRPr="00CD5C73">
          <w:rPr>
            <w:rFonts w:asciiTheme="majorBidi" w:eastAsia="SimSun" w:hAnsiTheme="majorBidi" w:cstheme="majorBidi"/>
            <w:i/>
            <w:iCs/>
            <w:sz w:val="28"/>
            <w:szCs w:val="28"/>
            <w:lang w:eastAsia="zh-CN"/>
          </w:rPr>
          <w:t>fatma.alsayed@mediu.ws</w:t>
        </w:r>
      </w:hyperlink>
    </w:p>
    <w:p w:rsidR="00CD5C73" w:rsidRDefault="00CD5C73" w:rsidP="00EA7CAD">
      <w:pPr>
        <w:tabs>
          <w:tab w:val="left" w:pos="4050"/>
        </w:tabs>
        <w:jc w:val="center"/>
        <w:rPr>
          <w:rFonts w:hint="cs"/>
          <w:b/>
          <w:bCs/>
          <w:sz w:val="28"/>
          <w:szCs w:val="28"/>
          <w:rtl/>
          <w:lang w:bidi="ar-EG"/>
        </w:rPr>
      </w:pPr>
    </w:p>
    <w:p w:rsidR="00CD5C73" w:rsidRPr="00FE0D55" w:rsidRDefault="00CD5C73" w:rsidP="00EA7CAD">
      <w:pPr>
        <w:tabs>
          <w:tab w:val="left" w:pos="4050"/>
        </w:tabs>
        <w:jc w:val="center"/>
        <w:rPr>
          <w:rFonts w:asciiTheme="majorBidi" w:hAnsiTheme="majorBidi" w:cstheme="majorBidi"/>
          <w:b/>
          <w:bCs/>
          <w:i/>
          <w:iCs/>
          <w:sz w:val="18"/>
          <w:szCs w:val="18"/>
          <w:lang w:bidi="ar-EG"/>
        </w:rPr>
      </w:pPr>
    </w:p>
    <w:p w:rsidR="00EA7CAD" w:rsidRDefault="00EA7CAD" w:rsidP="00EA7CAD">
      <w:pPr>
        <w:tabs>
          <w:tab w:val="left" w:pos="3071"/>
        </w:tabs>
        <w:spacing w:before="60"/>
        <w:ind w:hanging="58"/>
        <w:rPr>
          <w:rFonts w:asciiTheme="majorBidi" w:hAnsiTheme="majorBidi" w:cstheme="majorBidi"/>
          <w:b/>
          <w:bCs/>
          <w:sz w:val="18"/>
          <w:szCs w:val="18"/>
          <w:rtl/>
        </w:rPr>
        <w:sectPr w:rsidR="00EA7CAD" w:rsidSect="004168A0">
          <w:pgSz w:w="11906" w:h="16838"/>
          <w:pgMar w:top="1440" w:right="1800" w:bottom="1440" w:left="1800" w:header="708" w:footer="708" w:gutter="0"/>
          <w:cols w:space="708"/>
          <w:bidi/>
          <w:rtlGutter/>
          <w:docGrid w:linePitch="360"/>
        </w:sectPr>
      </w:pPr>
    </w:p>
    <w:p w:rsidR="00EA7CAD" w:rsidRPr="00916DA5" w:rsidRDefault="00EA7CAD" w:rsidP="00EA7CAD">
      <w:pPr>
        <w:tabs>
          <w:tab w:val="left" w:pos="3071"/>
        </w:tabs>
        <w:spacing w:before="60"/>
        <w:ind w:hanging="58"/>
        <w:rPr>
          <w:rFonts w:asciiTheme="majorBidi" w:eastAsia="Calibri" w:hAnsiTheme="majorBidi" w:cstheme="majorBidi"/>
          <w:b/>
          <w:bCs/>
          <w:sz w:val="18"/>
          <w:szCs w:val="18"/>
          <w:rtl/>
          <w:lang w:bidi="ar-EG"/>
        </w:rPr>
      </w:pPr>
      <w:r w:rsidRPr="00EA7CAD">
        <w:rPr>
          <w:rFonts w:asciiTheme="majorBidi" w:hAnsiTheme="majorBidi" w:cstheme="majorBidi" w:hint="cs"/>
          <w:b/>
          <w:bCs/>
          <w:sz w:val="18"/>
          <w:szCs w:val="18"/>
          <w:rtl/>
        </w:rPr>
        <w:lastRenderedPageBreak/>
        <w:t>خلاصة هذا البحث فى :</w:t>
      </w:r>
      <w:r w:rsidRPr="00EA7CAD">
        <w:rPr>
          <w:rFonts w:asciiTheme="majorBidi" w:eastAsia="Calibri" w:hAnsiTheme="majorBidi" w:cstheme="majorBidi"/>
          <w:b/>
          <w:bCs/>
          <w:sz w:val="18"/>
          <w:szCs w:val="18"/>
          <w:rtl/>
        </w:rPr>
        <w:t xml:space="preserve"> أقسام الصفات من حيث أدلة ثبوتها</w:t>
      </w:r>
      <w:r>
        <w:rPr>
          <w:rFonts w:asciiTheme="majorBidi" w:eastAsia="Calibri" w:hAnsiTheme="majorBidi" w:cstheme="majorBidi"/>
          <w:b/>
          <w:bCs/>
          <w:sz w:val="18"/>
          <w:szCs w:val="18"/>
          <w:rtl/>
        </w:rPr>
        <w:tab/>
      </w:r>
    </w:p>
    <w:p w:rsidR="00EA7CAD" w:rsidRPr="00916DA5" w:rsidRDefault="00EA7CAD" w:rsidP="00EA7CAD">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الصفات، الشرعيه، الدليل</w:t>
      </w:r>
      <w:r>
        <w:rPr>
          <w:rFonts w:asciiTheme="majorBidi" w:eastAsia="Calibri" w:hAnsiTheme="majorBidi" w:cstheme="majorBidi"/>
          <w:b/>
          <w:bCs/>
          <w:sz w:val="18"/>
          <w:szCs w:val="18"/>
          <w:rtl/>
        </w:rPr>
        <w:tab/>
      </w:r>
    </w:p>
    <w:p w:rsidR="00EA7CAD" w:rsidRPr="00916DA5" w:rsidRDefault="00EA7CAD" w:rsidP="00EA7CAD">
      <w:pPr>
        <w:pStyle w:val="ListParagraph"/>
        <w:numPr>
          <w:ilvl w:val="0"/>
          <w:numId w:val="3"/>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EA7CAD" w:rsidRPr="00916DA5" w:rsidRDefault="00EA7CAD" w:rsidP="00EA7CAD">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EA7CAD">
        <w:rPr>
          <w:rFonts w:asciiTheme="majorBidi" w:eastAsia="Calibri" w:hAnsiTheme="majorBidi" w:cstheme="majorBidi"/>
          <w:b/>
          <w:bCs/>
          <w:sz w:val="18"/>
          <w:szCs w:val="18"/>
          <w:rtl/>
        </w:rPr>
        <w:t>أقسام الصفات من حيث أدلة ثبوتها</w:t>
      </w:r>
    </w:p>
    <w:p w:rsidR="00EA7CAD" w:rsidRPr="007E5667" w:rsidRDefault="00EA7CAD" w:rsidP="00EA7CAD">
      <w:pPr>
        <w:pStyle w:val="ListParagraph"/>
        <w:numPr>
          <w:ilvl w:val="0"/>
          <w:numId w:val="4"/>
        </w:numPr>
        <w:tabs>
          <w:tab w:val="left" w:pos="226"/>
        </w:tabs>
        <w:spacing w:before="120" w:after="120"/>
        <w:ind w:left="651" w:hanging="567"/>
        <w:jc w:val="center"/>
        <w:rPr>
          <w:rFonts w:eastAsia="SimSun"/>
          <w:b/>
          <w:bCs/>
          <w:i/>
          <w:iCs/>
          <w:sz w:val="20"/>
          <w:szCs w:val="20"/>
          <w:rtl/>
          <w:lang w:eastAsia="zh-CN"/>
        </w:rPr>
      </w:pPr>
      <w:r>
        <w:rPr>
          <w:rFonts w:eastAsia="SimSun" w:hint="cs"/>
          <w:b/>
          <w:bCs/>
          <w:i/>
          <w:iCs/>
          <w:sz w:val="20"/>
          <w:szCs w:val="20"/>
          <w:rtl/>
          <w:lang w:eastAsia="zh-CN"/>
        </w:rPr>
        <w:t>. موضوع المقالة</w:t>
      </w:r>
    </w:p>
    <w:p w:rsidR="00EA7CAD" w:rsidRPr="00EA7CAD" w:rsidRDefault="00EA7CAD" w:rsidP="00EA7CAD">
      <w:pPr>
        <w:widowControl w:val="0"/>
        <w:jc w:val="lowKashida"/>
        <w:rPr>
          <w:rFonts w:ascii="Tahoma" w:hAnsi="Tahoma"/>
          <w:sz w:val="18"/>
          <w:szCs w:val="18"/>
          <w:rtl/>
          <w:lang w:bidi="ar-EG"/>
        </w:rPr>
      </w:pPr>
      <w:r w:rsidRPr="00EA7CAD">
        <w:rPr>
          <w:rFonts w:ascii="Tahoma" w:hAnsi="Tahoma"/>
          <w:sz w:val="18"/>
          <w:szCs w:val="18"/>
          <w:rtl/>
          <w:lang w:bidi="ar-EG"/>
        </w:rPr>
        <w:t xml:space="preserve">تنقسم الصفات من حيث أدلة ثبوتها إلى قسمين: </w:t>
      </w:r>
    </w:p>
    <w:p w:rsidR="00EA7CAD" w:rsidRPr="00EA7CAD" w:rsidRDefault="00EA7CAD" w:rsidP="00EA7CAD">
      <w:pPr>
        <w:widowControl w:val="0"/>
        <w:jc w:val="lowKashida"/>
        <w:rPr>
          <w:rFonts w:ascii="Tahoma" w:hAnsi="Tahoma"/>
          <w:sz w:val="18"/>
          <w:szCs w:val="18"/>
          <w:rtl/>
          <w:lang w:bidi="ar-EG"/>
        </w:rPr>
      </w:pPr>
      <w:r w:rsidRPr="00EA7CAD">
        <w:rPr>
          <w:rFonts w:ascii="Tahoma" w:hAnsi="Tahoma"/>
          <w:sz w:val="18"/>
          <w:szCs w:val="18"/>
          <w:rtl/>
          <w:lang w:bidi="ar-EG"/>
        </w:rPr>
        <w:t xml:space="preserve">القسم الأول: الصفات الشرعية العقلية: </w:t>
      </w:r>
    </w:p>
    <w:p w:rsidR="00EA7CAD" w:rsidRPr="00EA7CAD" w:rsidRDefault="00EA7CAD" w:rsidP="00EA7CAD">
      <w:pPr>
        <w:widowControl w:val="0"/>
        <w:jc w:val="lowKashida"/>
        <w:rPr>
          <w:rFonts w:ascii="Tahoma" w:hAnsi="Tahoma"/>
          <w:sz w:val="18"/>
          <w:szCs w:val="18"/>
        </w:rPr>
      </w:pPr>
      <w:r w:rsidRPr="00EA7CAD">
        <w:rPr>
          <w:rFonts w:ascii="Tahoma" w:hAnsi="Tahoma"/>
          <w:sz w:val="18"/>
          <w:szCs w:val="18"/>
          <w:rtl/>
          <w:lang w:bidi="ar-EG"/>
        </w:rPr>
        <w:t>وضابطها: هي التي يشترك في إثباتها الدليل الشرعي السمعي والدليل العقلي، والفطرة السليمة.</w:t>
      </w:r>
    </w:p>
    <w:p w:rsidR="00EA7CAD" w:rsidRPr="00EA7CAD" w:rsidRDefault="00EA7CAD" w:rsidP="00EA7CAD">
      <w:pPr>
        <w:widowControl w:val="0"/>
        <w:jc w:val="lowKashida"/>
        <w:rPr>
          <w:rFonts w:ascii="Tahoma" w:hAnsi="Tahoma"/>
          <w:sz w:val="18"/>
          <w:szCs w:val="18"/>
        </w:rPr>
      </w:pPr>
      <w:r w:rsidRPr="00EA7CAD">
        <w:rPr>
          <w:rFonts w:ascii="Tahoma" w:hAnsi="Tahoma"/>
          <w:sz w:val="18"/>
          <w:szCs w:val="18"/>
          <w:rtl/>
          <w:lang w:bidi="ar-EG"/>
        </w:rPr>
        <w:t>وهي أكثر صفات الرب تعالى، بل أغلب الصفات الثبوتية يشترك فيها الدليلان السمعي والعقلي وإن كان الأصل في ثبوتها الدليل الشرعي.</w:t>
      </w:r>
    </w:p>
    <w:p w:rsidR="00EA7CAD" w:rsidRPr="00EA7CAD" w:rsidRDefault="00EA7CAD" w:rsidP="00EA7CAD">
      <w:pPr>
        <w:widowControl w:val="0"/>
        <w:jc w:val="lowKashida"/>
        <w:rPr>
          <w:rFonts w:ascii="Tahoma" w:hAnsi="Tahoma"/>
          <w:sz w:val="18"/>
          <w:szCs w:val="18"/>
        </w:rPr>
      </w:pPr>
      <w:r w:rsidRPr="00EA7CAD">
        <w:rPr>
          <w:rFonts w:ascii="Tahoma" w:hAnsi="Tahoma"/>
          <w:sz w:val="18"/>
          <w:szCs w:val="18"/>
          <w:rtl/>
          <w:lang w:bidi="ar-EG"/>
        </w:rPr>
        <w:t>ومنها: العلم، السمع، البصر، العلو، القدرة، الإرادة، الخلق، الحياة.</w:t>
      </w:r>
    </w:p>
    <w:p w:rsidR="00EA7CAD" w:rsidRPr="00EA7CAD" w:rsidRDefault="00EA7CAD" w:rsidP="00EA7CAD">
      <w:pPr>
        <w:widowControl w:val="0"/>
        <w:jc w:val="lowKashida"/>
        <w:rPr>
          <w:rFonts w:ascii="Tahoma" w:hAnsi="Tahoma"/>
          <w:sz w:val="18"/>
          <w:szCs w:val="18"/>
        </w:rPr>
      </w:pPr>
      <w:r w:rsidRPr="00EA7CAD">
        <w:rPr>
          <w:rFonts w:ascii="Tahoma" w:hAnsi="Tahoma"/>
          <w:sz w:val="18"/>
          <w:szCs w:val="18"/>
          <w:rtl/>
          <w:lang w:bidi="ar-EG"/>
        </w:rPr>
        <w:t>وسميت "شرعية عقلية" شرعية: لأن الشرع دل عليها أو أرشد إليها.</w:t>
      </w:r>
    </w:p>
    <w:p w:rsidR="00EA7CAD" w:rsidRPr="00EA7CAD" w:rsidRDefault="00EA7CAD" w:rsidP="00EA7CAD">
      <w:pPr>
        <w:jc w:val="lowKashida"/>
        <w:rPr>
          <w:rFonts w:ascii="Tahoma" w:hAnsi="Tahoma"/>
          <w:sz w:val="18"/>
          <w:szCs w:val="18"/>
        </w:rPr>
      </w:pPr>
      <w:r w:rsidRPr="00EA7CAD">
        <w:rPr>
          <w:rFonts w:ascii="Tahoma" w:hAnsi="Tahoma"/>
          <w:sz w:val="18"/>
          <w:szCs w:val="18"/>
          <w:rtl/>
          <w:lang w:bidi="ar-EG"/>
        </w:rPr>
        <w:t>وعقلية: لأنها تعلم صحتها بالعقل ولا يقال إنها لم تعلم إلا بمجرد الخبر.</w:t>
      </w:r>
    </w:p>
    <w:p w:rsidR="00EA7CAD" w:rsidRPr="00EA7CAD" w:rsidRDefault="00EA7CAD" w:rsidP="00EA7CAD">
      <w:pPr>
        <w:jc w:val="lowKashida"/>
        <w:rPr>
          <w:rFonts w:ascii="Tahoma" w:hAnsi="Tahoma"/>
          <w:sz w:val="18"/>
          <w:szCs w:val="18"/>
        </w:rPr>
      </w:pPr>
      <w:r w:rsidRPr="00EA7CAD">
        <w:rPr>
          <w:rFonts w:ascii="Tahoma" w:hAnsi="Tahoma"/>
          <w:sz w:val="18"/>
          <w:szCs w:val="18"/>
          <w:rtl/>
          <w:lang w:bidi="ar-EG"/>
        </w:rPr>
        <w:t xml:space="preserve">فإذا أخبر الله بالشيء، ودل عليه بالدلالات العقلية صار مدلولًا عليه بخبره، ومدلولًا عليه بدليل العقل الذي يعلم به، فيصير ثابتًا بالسمع والعقل، وكلاهما داخل في دلالة القرآن التي تسمى الدلالة الشرعية. </w:t>
      </w:r>
    </w:p>
    <w:p w:rsidR="00EA7CAD" w:rsidRPr="00EA7CAD" w:rsidRDefault="00EA7CAD" w:rsidP="00EA7CAD">
      <w:pPr>
        <w:jc w:val="lowKashida"/>
        <w:rPr>
          <w:rFonts w:ascii="Tahoma" w:hAnsi="Tahoma"/>
          <w:sz w:val="18"/>
          <w:szCs w:val="18"/>
          <w:rtl/>
          <w:lang w:bidi="ar-EG"/>
        </w:rPr>
      </w:pPr>
      <w:r w:rsidRPr="00EA7CAD">
        <w:rPr>
          <w:rFonts w:ascii="Tahoma" w:hAnsi="Tahoma"/>
          <w:sz w:val="18"/>
          <w:szCs w:val="18"/>
          <w:rtl/>
          <w:lang w:bidi="ar-EG"/>
        </w:rPr>
        <w:t xml:space="preserve">القسم الثاني: الصفات الخبرية وتسمى النقلية والسمعية: </w:t>
      </w:r>
    </w:p>
    <w:p w:rsidR="00EA7CAD" w:rsidRPr="00EA7CAD" w:rsidRDefault="00EA7CAD" w:rsidP="00EA7CAD">
      <w:pPr>
        <w:jc w:val="lowKashida"/>
        <w:rPr>
          <w:rFonts w:ascii="Tahoma" w:hAnsi="Tahoma"/>
          <w:sz w:val="18"/>
          <w:szCs w:val="18"/>
        </w:rPr>
      </w:pPr>
      <w:r w:rsidRPr="00EA7CAD">
        <w:rPr>
          <w:rFonts w:ascii="Tahoma" w:hAnsi="Tahoma"/>
          <w:sz w:val="18"/>
          <w:szCs w:val="18"/>
          <w:rtl/>
          <w:lang w:bidi="ar-EG"/>
        </w:rPr>
        <w:t>وضابطها: هي التي لا سبيل إلى إثباتها إلا بطريق السمع والخبر عن الله أو عن رسوله الأمين عليه الصلاة والتسليم.</w:t>
      </w:r>
    </w:p>
    <w:p w:rsidR="00EA7CAD" w:rsidRPr="00EA7CAD" w:rsidRDefault="00EA7CAD" w:rsidP="00EA7CAD">
      <w:pPr>
        <w:widowControl w:val="0"/>
        <w:jc w:val="lowKashida"/>
        <w:rPr>
          <w:rFonts w:ascii="Tahoma" w:hAnsi="Tahoma"/>
          <w:sz w:val="18"/>
          <w:szCs w:val="18"/>
        </w:rPr>
      </w:pPr>
      <w:r w:rsidRPr="00EA7CAD">
        <w:rPr>
          <w:rFonts w:ascii="Tahoma" w:hAnsi="Tahoma"/>
          <w:sz w:val="18"/>
          <w:szCs w:val="18"/>
          <w:rtl/>
          <w:lang w:bidi="ar-EG"/>
        </w:rPr>
        <w:t xml:space="preserve">ومنها: الوجه </w:t>
      </w:r>
      <w:r w:rsidRPr="00EA7CAD">
        <w:rPr>
          <w:rFonts w:ascii="Tahoma" w:hAnsi="Tahoma" w:cs="Traditional Arabic"/>
          <w:sz w:val="18"/>
          <w:szCs w:val="18"/>
          <w:rtl/>
          <w:lang w:bidi="ar-EG"/>
        </w:rPr>
        <w:t>-</w:t>
      </w:r>
      <w:r w:rsidRPr="00EA7CAD">
        <w:rPr>
          <w:rFonts w:ascii="Tahoma" w:hAnsi="Tahoma"/>
          <w:sz w:val="18"/>
          <w:szCs w:val="18"/>
          <w:rtl/>
          <w:lang w:bidi="ar-EG"/>
        </w:rPr>
        <w:t xml:space="preserve"> اليد </w:t>
      </w:r>
      <w:r w:rsidRPr="00EA7CAD">
        <w:rPr>
          <w:rFonts w:ascii="Tahoma" w:hAnsi="Tahoma" w:cs="Traditional Arabic"/>
          <w:sz w:val="18"/>
          <w:szCs w:val="18"/>
          <w:rtl/>
          <w:lang w:bidi="ar-EG"/>
        </w:rPr>
        <w:t>-</w:t>
      </w:r>
      <w:r w:rsidRPr="00EA7CAD">
        <w:rPr>
          <w:rFonts w:ascii="Tahoma" w:hAnsi="Tahoma"/>
          <w:sz w:val="18"/>
          <w:szCs w:val="18"/>
          <w:rtl/>
          <w:lang w:bidi="ar-EG"/>
        </w:rPr>
        <w:t xml:space="preserve"> العين </w:t>
      </w:r>
      <w:r w:rsidRPr="00EA7CAD">
        <w:rPr>
          <w:rFonts w:ascii="Tahoma" w:hAnsi="Tahoma" w:cs="Traditional Arabic"/>
          <w:sz w:val="18"/>
          <w:szCs w:val="18"/>
          <w:rtl/>
          <w:lang w:bidi="ar-EG"/>
        </w:rPr>
        <w:t>-</w:t>
      </w:r>
      <w:r w:rsidRPr="00EA7CAD">
        <w:rPr>
          <w:rFonts w:ascii="Tahoma" w:hAnsi="Tahoma"/>
          <w:sz w:val="18"/>
          <w:szCs w:val="18"/>
          <w:rtl/>
          <w:lang w:bidi="ar-EG"/>
        </w:rPr>
        <w:t xml:space="preserve"> الرضا </w:t>
      </w:r>
      <w:r w:rsidRPr="00EA7CAD">
        <w:rPr>
          <w:rFonts w:ascii="Tahoma" w:hAnsi="Tahoma" w:cs="Traditional Arabic"/>
          <w:sz w:val="18"/>
          <w:szCs w:val="18"/>
          <w:rtl/>
          <w:lang w:bidi="ar-EG"/>
        </w:rPr>
        <w:t>-</w:t>
      </w:r>
      <w:r w:rsidRPr="00EA7CAD">
        <w:rPr>
          <w:rFonts w:ascii="Tahoma" w:hAnsi="Tahoma"/>
          <w:sz w:val="18"/>
          <w:szCs w:val="18"/>
          <w:rtl/>
          <w:lang w:bidi="ar-EG"/>
        </w:rPr>
        <w:t xml:space="preserve"> الفرح </w:t>
      </w:r>
      <w:r w:rsidRPr="00EA7CAD">
        <w:rPr>
          <w:rFonts w:ascii="Tahoma" w:hAnsi="Tahoma" w:cs="Traditional Arabic"/>
          <w:sz w:val="18"/>
          <w:szCs w:val="18"/>
          <w:rtl/>
          <w:lang w:bidi="ar-EG"/>
        </w:rPr>
        <w:t>-</w:t>
      </w:r>
      <w:r w:rsidRPr="00EA7CAD">
        <w:rPr>
          <w:rFonts w:ascii="Tahoma" w:hAnsi="Tahoma"/>
          <w:sz w:val="18"/>
          <w:szCs w:val="18"/>
          <w:rtl/>
          <w:lang w:bidi="ar-EG"/>
        </w:rPr>
        <w:t xml:space="preserve"> الغضب </w:t>
      </w:r>
      <w:r w:rsidRPr="00EA7CAD">
        <w:rPr>
          <w:rFonts w:ascii="Tahoma" w:hAnsi="Tahoma" w:cs="Traditional Arabic"/>
          <w:sz w:val="18"/>
          <w:szCs w:val="18"/>
          <w:rtl/>
          <w:lang w:bidi="ar-EG"/>
        </w:rPr>
        <w:t>-</w:t>
      </w:r>
      <w:r w:rsidRPr="00EA7CAD">
        <w:rPr>
          <w:rFonts w:ascii="Tahoma" w:hAnsi="Tahoma"/>
          <w:sz w:val="18"/>
          <w:szCs w:val="18"/>
          <w:rtl/>
          <w:lang w:bidi="ar-EG"/>
        </w:rPr>
        <w:t xml:space="preserve"> القَدَم </w:t>
      </w:r>
      <w:r w:rsidRPr="00EA7CAD">
        <w:rPr>
          <w:rFonts w:ascii="Tahoma" w:hAnsi="Tahoma" w:cs="Traditional Arabic"/>
          <w:sz w:val="18"/>
          <w:szCs w:val="18"/>
          <w:rtl/>
          <w:lang w:bidi="ar-EG"/>
        </w:rPr>
        <w:t>-</w:t>
      </w:r>
      <w:r w:rsidRPr="00EA7CAD">
        <w:rPr>
          <w:rFonts w:ascii="Tahoma" w:hAnsi="Tahoma"/>
          <w:sz w:val="18"/>
          <w:szCs w:val="18"/>
          <w:rtl/>
          <w:lang w:bidi="ar-EG"/>
        </w:rPr>
        <w:t xml:space="preserve"> الاستواء </w:t>
      </w:r>
      <w:r w:rsidRPr="00EA7CAD">
        <w:rPr>
          <w:rFonts w:ascii="Tahoma" w:hAnsi="Tahoma" w:cs="Traditional Arabic"/>
          <w:sz w:val="18"/>
          <w:szCs w:val="18"/>
          <w:rtl/>
          <w:lang w:bidi="ar-EG"/>
        </w:rPr>
        <w:t>-</w:t>
      </w:r>
      <w:r w:rsidRPr="00EA7CAD">
        <w:rPr>
          <w:rFonts w:ascii="Tahoma" w:hAnsi="Tahoma"/>
          <w:sz w:val="18"/>
          <w:szCs w:val="18"/>
          <w:rtl/>
          <w:lang w:bidi="ar-EG"/>
        </w:rPr>
        <w:t xml:space="preserve"> النزول </w:t>
      </w:r>
      <w:r w:rsidRPr="00EA7CAD">
        <w:rPr>
          <w:rFonts w:ascii="Tahoma" w:hAnsi="Tahoma" w:cs="Traditional Arabic"/>
          <w:sz w:val="18"/>
          <w:szCs w:val="18"/>
          <w:rtl/>
          <w:lang w:bidi="ar-EG"/>
        </w:rPr>
        <w:t>-</w:t>
      </w:r>
      <w:r w:rsidRPr="00EA7CAD">
        <w:rPr>
          <w:rFonts w:ascii="Tahoma" w:hAnsi="Tahoma"/>
          <w:sz w:val="18"/>
          <w:szCs w:val="18"/>
          <w:rtl/>
          <w:lang w:bidi="ar-EG"/>
        </w:rPr>
        <w:t xml:space="preserve"> المجيء – الضحك.</w:t>
      </w:r>
    </w:p>
    <w:p w:rsidR="00EA7CAD" w:rsidRPr="00EA7CAD" w:rsidRDefault="00EA7CAD" w:rsidP="00EA7CAD">
      <w:pPr>
        <w:widowControl w:val="0"/>
        <w:jc w:val="lowKashida"/>
        <w:rPr>
          <w:rFonts w:ascii="Tahoma" w:hAnsi="Tahoma"/>
          <w:sz w:val="18"/>
          <w:szCs w:val="18"/>
        </w:rPr>
      </w:pPr>
      <w:r w:rsidRPr="00EA7CAD">
        <w:rPr>
          <w:rFonts w:ascii="Tahoma" w:hAnsi="Tahoma"/>
          <w:sz w:val="18"/>
          <w:szCs w:val="18"/>
          <w:rtl/>
          <w:lang w:bidi="ar-EG"/>
        </w:rPr>
        <w:t xml:space="preserve">وهي تنقسم إلى قسمين: </w:t>
      </w:r>
    </w:p>
    <w:p w:rsidR="00EA7CAD" w:rsidRPr="00EA7CAD" w:rsidRDefault="00EA7CAD" w:rsidP="00EA7CAD">
      <w:pPr>
        <w:widowControl w:val="0"/>
        <w:numPr>
          <w:ilvl w:val="0"/>
          <w:numId w:val="1"/>
        </w:numPr>
        <w:tabs>
          <w:tab w:val="clear" w:pos="720"/>
          <w:tab w:val="num" w:pos="360"/>
        </w:tabs>
        <w:ind w:left="360"/>
        <w:jc w:val="lowKashida"/>
        <w:rPr>
          <w:rFonts w:ascii="Tahoma" w:hAnsi="Tahoma"/>
          <w:sz w:val="18"/>
          <w:szCs w:val="18"/>
        </w:rPr>
      </w:pPr>
      <w:r w:rsidRPr="00EA7CAD">
        <w:rPr>
          <w:rFonts w:ascii="Tahoma" w:hAnsi="Tahoma"/>
          <w:sz w:val="18"/>
          <w:szCs w:val="18"/>
          <w:rtl/>
          <w:lang w:bidi="ar-EG"/>
        </w:rPr>
        <w:t xml:space="preserve">صفات ذاتية مثل: الوجه </w:t>
      </w:r>
      <w:r w:rsidRPr="00EA7CAD">
        <w:rPr>
          <w:rFonts w:ascii="Tahoma" w:hAnsi="Tahoma" w:cs="Traditional Arabic"/>
          <w:sz w:val="18"/>
          <w:szCs w:val="18"/>
          <w:rtl/>
          <w:lang w:bidi="ar-EG"/>
        </w:rPr>
        <w:t>-</w:t>
      </w:r>
      <w:r w:rsidRPr="00EA7CAD">
        <w:rPr>
          <w:rFonts w:ascii="Tahoma" w:hAnsi="Tahoma"/>
          <w:sz w:val="18"/>
          <w:szCs w:val="18"/>
          <w:rtl/>
          <w:lang w:bidi="ar-EG"/>
        </w:rPr>
        <w:t xml:space="preserve"> اليد </w:t>
      </w:r>
      <w:r w:rsidRPr="00EA7CAD">
        <w:rPr>
          <w:rFonts w:ascii="Tahoma" w:hAnsi="Tahoma" w:cs="Traditional Arabic"/>
          <w:sz w:val="18"/>
          <w:szCs w:val="18"/>
          <w:rtl/>
          <w:lang w:bidi="ar-EG"/>
        </w:rPr>
        <w:t>-</w:t>
      </w:r>
      <w:r w:rsidRPr="00EA7CAD">
        <w:rPr>
          <w:rFonts w:ascii="Tahoma" w:hAnsi="Tahoma"/>
          <w:sz w:val="18"/>
          <w:szCs w:val="18"/>
          <w:rtl/>
          <w:lang w:bidi="ar-EG"/>
        </w:rPr>
        <w:t xml:space="preserve"> العين – القَدَم.</w:t>
      </w:r>
    </w:p>
    <w:p w:rsidR="00EA7CAD" w:rsidRDefault="00EA7CAD" w:rsidP="00EA7CAD">
      <w:pPr>
        <w:jc w:val="center"/>
        <w:rPr>
          <w:rFonts w:asciiTheme="majorBidi" w:hAnsiTheme="majorBidi" w:cstheme="majorBidi"/>
          <w:b/>
          <w:bCs/>
          <w:sz w:val="18"/>
          <w:szCs w:val="18"/>
          <w:rtl/>
        </w:rPr>
      </w:pPr>
      <w:r>
        <w:rPr>
          <w:rFonts w:asciiTheme="majorBidi" w:hAnsiTheme="majorBidi" w:cstheme="majorBidi" w:hint="cs"/>
          <w:b/>
          <w:bCs/>
          <w:sz w:val="18"/>
          <w:szCs w:val="18"/>
          <w:rtl/>
        </w:rPr>
        <w:lastRenderedPageBreak/>
        <w:t>المراجع والمصادر:</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EA7CAD" w:rsidRPr="00785C26" w:rsidRDefault="00EA7CAD" w:rsidP="00EA7CAD">
      <w:pPr>
        <w:numPr>
          <w:ilvl w:val="0"/>
          <w:numId w:val="2"/>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EA7CAD" w:rsidRPr="00785C26" w:rsidRDefault="00EA7CAD" w:rsidP="00EA7CAD">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EA7CAD" w:rsidRDefault="00EA7CAD" w:rsidP="00EA7CAD">
      <w:pPr>
        <w:jc w:val="center"/>
        <w:rPr>
          <w:rFonts w:asciiTheme="majorBidi" w:hAnsiTheme="majorBidi" w:cstheme="majorBidi"/>
          <w:b/>
          <w:bCs/>
          <w:sz w:val="18"/>
          <w:szCs w:val="18"/>
          <w:rtl/>
          <w:lang w:bidi="ar-EG"/>
        </w:rPr>
        <w:sectPr w:rsidR="00EA7CAD" w:rsidSect="00EA7CAD">
          <w:type w:val="continuous"/>
          <w:pgSz w:w="11906" w:h="16838"/>
          <w:pgMar w:top="731" w:right="737" w:bottom="2432" w:left="737" w:header="709" w:footer="709" w:gutter="0"/>
          <w:cols w:num="2" w:space="710" w:equalWidth="0">
            <w:col w:w="4861" w:space="710"/>
            <w:col w:w="4861"/>
          </w:cols>
          <w:bidi/>
          <w:rtlGutter/>
          <w:docGrid w:linePitch="360"/>
        </w:sectPr>
      </w:pPr>
    </w:p>
    <w:p w:rsidR="00EA7CAD" w:rsidRPr="00785C26" w:rsidRDefault="00EA7CAD" w:rsidP="00EA7CAD">
      <w:pPr>
        <w:jc w:val="center"/>
        <w:rPr>
          <w:rFonts w:asciiTheme="majorBidi" w:hAnsiTheme="majorBidi" w:cstheme="majorBidi"/>
          <w:b/>
          <w:bCs/>
          <w:sz w:val="18"/>
          <w:szCs w:val="18"/>
          <w:rtl/>
          <w:lang w:bidi="ar-EG"/>
        </w:rPr>
      </w:pPr>
    </w:p>
    <w:p w:rsidR="004219C3" w:rsidRPr="00EA7CAD" w:rsidRDefault="004219C3" w:rsidP="00EA7CAD">
      <w:pPr>
        <w:tabs>
          <w:tab w:val="left" w:pos="3071"/>
        </w:tabs>
        <w:spacing w:before="60"/>
        <w:ind w:firstLine="720"/>
        <w:jc w:val="center"/>
        <w:rPr>
          <w:rFonts w:asciiTheme="majorBidi" w:eastAsia="Calibri" w:hAnsiTheme="majorBidi" w:cstheme="majorBidi"/>
          <w:b/>
          <w:bCs/>
          <w:sz w:val="44"/>
          <w:szCs w:val="44"/>
          <w:lang w:bidi="ar-EG"/>
        </w:rPr>
      </w:pPr>
    </w:p>
    <w:sectPr w:rsidR="004219C3" w:rsidRPr="00EA7CAD" w:rsidSect="00EA7CAD">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2B67551F"/>
    <w:multiLevelType w:val="hybridMultilevel"/>
    <w:tmpl w:val="9996A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FA0DAD"/>
    <w:multiLevelType w:val="hybridMultilevel"/>
    <w:tmpl w:val="A5565AFE"/>
    <w:lvl w:ilvl="0" w:tplc="1BB2DDB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CAD"/>
    <w:rsid w:val="001A2769"/>
    <w:rsid w:val="00413AAB"/>
    <w:rsid w:val="004168A0"/>
    <w:rsid w:val="004219C3"/>
    <w:rsid w:val="0073536F"/>
    <w:rsid w:val="00B31F40"/>
    <w:rsid w:val="00C32EA2"/>
    <w:rsid w:val="00CD5C73"/>
    <w:rsid w:val="00EA7C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A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EA7CA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A7CAD"/>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EA7CA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A7C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ma.alsay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2630</Characters>
  <Application>Microsoft Office Word</Application>
  <DocSecurity>0</DocSecurity>
  <Lines>21</Lines>
  <Paragraphs>6</Paragraphs>
  <ScaleCrop>false</ScaleCrop>
  <Company>Fannan</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2013-06-23T07:43:00Z</dcterms:created>
  <dcterms:modified xsi:type="dcterms:W3CDTF">2013-06-25T10:17:00Z</dcterms:modified>
</cp:coreProperties>
</file>