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BAD" w:rsidRPr="00610584" w:rsidRDefault="009B3BAD" w:rsidP="00610584">
      <w:pPr>
        <w:spacing w:line="240" w:lineRule="auto"/>
        <w:jc w:val="center"/>
        <w:rPr>
          <w:i/>
          <w:iCs/>
          <w:rtl/>
        </w:rPr>
      </w:pPr>
      <w:r w:rsidRPr="0007763E">
        <w:rPr>
          <w:rFonts w:asciiTheme="majorBidi" w:eastAsia="Calibri" w:hAnsiTheme="majorBidi" w:cstheme="majorBidi"/>
          <w:i/>
          <w:iCs/>
          <w:sz w:val="48"/>
          <w:szCs w:val="48"/>
          <w:rtl/>
        </w:rPr>
        <w:t>تعريف الحديث الموضوع</w:t>
      </w:r>
      <w:r w:rsidR="00610584">
        <w:rPr>
          <w:rFonts w:asciiTheme="majorBidi" w:eastAsia="Calibri" w:hAnsiTheme="majorBidi" w:cstheme="majorBidi" w:hint="cs"/>
          <w:i/>
          <w:iCs/>
          <w:sz w:val="48"/>
          <w:szCs w:val="48"/>
          <w:rtl/>
        </w:rPr>
        <w:t xml:space="preserve"> </w:t>
      </w:r>
      <w:r w:rsidRPr="0007763E">
        <w:rPr>
          <w:rFonts w:hint="cs"/>
          <w:i/>
          <w:iCs/>
          <w:sz w:val="48"/>
          <w:szCs w:val="48"/>
          <w:rtl/>
        </w:rPr>
        <w:t>(</w:t>
      </w:r>
      <w:r>
        <w:rPr>
          <w:rFonts w:hint="cs"/>
          <w:i/>
          <w:iCs/>
          <w:sz w:val="48"/>
          <w:szCs w:val="48"/>
          <w:rtl/>
        </w:rPr>
        <w:t>1</w:t>
      </w:r>
      <w:r w:rsidRPr="0007763E">
        <w:rPr>
          <w:rFonts w:hint="cs"/>
          <w:i/>
          <w:iCs/>
          <w:sz w:val="48"/>
          <w:szCs w:val="48"/>
          <w:rtl/>
        </w:rPr>
        <w:t>)</w:t>
      </w:r>
    </w:p>
    <w:p w:rsidR="009B3BAD" w:rsidRPr="009264EA" w:rsidRDefault="009B3BAD" w:rsidP="009B3BAD">
      <w:pPr>
        <w:pStyle w:val="papersubtitle"/>
        <w:bidi/>
        <w:rPr>
          <w:i/>
          <w:iCs/>
          <w:rtl/>
        </w:rPr>
      </w:pPr>
      <w:r w:rsidRPr="009264EA">
        <w:rPr>
          <w:i/>
          <w:iCs/>
          <w:rtl/>
        </w:rPr>
        <w:t xml:space="preserve">بحث  </w:t>
      </w:r>
      <w:proofErr w:type="spellStart"/>
      <w:r w:rsidRPr="009264EA">
        <w:rPr>
          <w:i/>
          <w:iCs/>
          <w:rtl/>
        </w:rPr>
        <w:t>فى</w:t>
      </w:r>
      <w:proofErr w:type="spellEnd"/>
      <w:r w:rsidRPr="009264EA">
        <w:rPr>
          <w:i/>
          <w:iCs/>
          <w:rtl/>
        </w:rPr>
        <w:t xml:space="preserve"> </w:t>
      </w:r>
      <w:r>
        <w:rPr>
          <w:rFonts w:hint="cs"/>
          <w:i/>
          <w:iCs/>
          <w:rtl/>
        </w:rPr>
        <w:t>الدخيل فى التفسير</w:t>
      </w:r>
    </w:p>
    <w:p w:rsidR="009B3BAD" w:rsidRPr="009264EA" w:rsidRDefault="009B3BAD" w:rsidP="00610584">
      <w:pPr>
        <w:pStyle w:val="papersubtitle"/>
        <w:bidi/>
        <w:rPr>
          <w:i/>
          <w:iCs/>
          <w:sz w:val="24"/>
          <w:szCs w:val="24"/>
          <w:lang w:bidi="ar-EG"/>
        </w:rPr>
      </w:pPr>
      <w:r w:rsidRPr="009264EA">
        <w:rPr>
          <w:i/>
          <w:iCs/>
          <w:sz w:val="24"/>
          <w:szCs w:val="24"/>
          <w:rtl/>
        </w:rPr>
        <w:t xml:space="preserve">إعداد أ/ </w:t>
      </w:r>
      <w:r w:rsidR="00610584" w:rsidRPr="00610584">
        <w:rPr>
          <w:i/>
          <w:iCs/>
          <w:sz w:val="24"/>
          <w:szCs w:val="24"/>
          <w:rtl/>
          <w:lang w:bidi="ar-EG"/>
        </w:rPr>
        <w:t>أحمد عبد الحميد مهدي</w:t>
      </w:r>
    </w:p>
    <w:p w:rsidR="009B3BAD" w:rsidRPr="009264EA" w:rsidRDefault="009B3BAD" w:rsidP="009B3BAD">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9B3BAD" w:rsidRPr="009264EA" w:rsidRDefault="009B3BAD" w:rsidP="009B3BAD">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9B3BAD" w:rsidRPr="009264EA" w:rsidRDefault="009B3BAD" w:rsidP="009B3BAD">
      <w:pPr>
        <w:pStyle w:val="papersubtitle"/>
        <w:bidi/>
        <w:rPr>
          <w:i/>
          <w:iCs/>
          <w:sz w:val="22"/>
          <w:szCs w:val="22"/>
          <w:rtl/>
        </w:rPr>
      </w:pPr>
      <w:r w:rsidRPr="009264EA">
        <w:rPr>
          <w:i/>
          <w:iCs/>
          <w:sz w:val="22"/>
          <w:szCs w:val="22"/>
          <w:rtl/>
        </w:rPr>
        <w:t>شاه علم – ماليزيا</w:t>
      </w:r>
    </w:p>
    <w:p w:rsidR="009B3BAD" w:rsidRDefault="00610584" w:rsidP="009B3BAD">
      <w:pPr>
        <w:spacing w:line="240" w:lineRule="auto"/>
        <w:jc w:val="center"/>
        <w:rPr>
          <w:rFonts w:ascii="Calibri" w:hAnsi="Calibri" w:cs="AL-Mateen"/>
          <w:sz w:val="32"/>
          <w:szCs w:val="32"/>
          <w:lang w:bidi="ar-EG"/>
        </w:rPr>
      </w:pPr>
      <w:r w:rsidRPr="00610584">
        <w:rPr>
          <w:rFonts w:asciiTheme="majorBidi" w:hAnsiTheme="majorBidi" w:cs="AL-Hotham"/>
          <w:i/>
          <w:iCs/>
          <w:lang w:bidi="ar-EG"/>
        </w:rPr>
        <w:t>ahmed.mahdey@mediu.ws</w:t>
      </w:r>
    </w:p>
    <w:p w:rsidR="009B3BAD" w:rsidRDefault="009B3BAD" w:rsidP="009B3BAD">
      <w:pPr>
        <w:spacing w:after="120"/>
        <w:rPr>
          <w:rFonts w:asciiTheme="majorBidi" w:hAnsiTheme="majorBidi" w:cstheme="majorBidi"/>
          <w:b/>
          <w:bCs/>
          <w:sz w:val="20"/>
          <w:szCs w:val="20"/>
          <w:rtl/>
        </w:rPr>
        <w:sectPr w:rsidR="009B3BAD" w:rsidSect="00BF7572">
          <w:pgSz w:w="11906" w:h="16838"/>
          <w:pgMar w:top="964" w:right="1021" w:bottom="964" w:left="1021" w:header="709" w:footer="709" w:gutter="0"/>
          <w:cols w:space="708"/>
          <w:bidi/>
          <w:rtlGutter/>
          <w:docGrid w:linePitch="360"/>
        </w:sectPr>
      </w:pPr>
    </w:p>
    <w:p w:rsidR="009B3BAD" w:rsidRPr="009B3BAD" w:rsidRDefault="009B3BAD" w:rsidP="009B3BAD">
      <w:pPr>
        <w:spacing w:after="120"/>
        <w:rPr>
          <w:rFonts w:asciiTheme="majorBidi" w:hAnsiTheme="majorBidi" w:cstheme="majorBidi"/>
          <w:b/>
          <w:bCs/>
          <w:sz w:val="20"/>
          <w:szCs w:val="20"/>
          <w:rtl/>
          <w:lang w:bidi="ar-EG"/>
        </w:rPr>
      </w:pPr>
      <w:r w:rsidRPr="009B3BAD">
        <w:rPr>
          <w:rFonts w:asciiTheme="majorBidi" w:hAnsiTheme="majorBidi" w:cstheme="majorBidi"/>
          <w:b/>
          <w:bCs/>
          <w:sz w:val="20"/>
          <w:szCs w:val="20"/>
          <w:rtl/>
        </w:rPr>
        <w:lastRenderedPageBreak/>
        <w:t xml:space="preserve">خلاصة ـــ هذا البحث يبحث في </w:t>
      </w:r>
      <w:r w:rsidRPr="009B3BAD">
        <w:rPr>
          <w:rFonts w:asciiTheme="majorBidi" w:eastAsia="Calibri" w:hAnsiTheme="majorBidi" w:cstheme="majorBidi"/>
          <w:b/>
          <w:bCs/>
          <w:sz w:val="20"/>
          <w:szCs w:val="20"/>
          <w:rtl/>
        </w:rPr>
        <w:t>تعريف الحديث الموضوع</w:t>
      </w:r>
    </w:p>
    <w:p w:rsidR="009B3BAD" w:rsidRPr="009B3BAD" w:rsidRDefault="009B3BAD" w:rsidP="009B3BAD">
      <w:pPr>
        <w:spacing w:after="120"/>
        <w:rPr>
          <w:rFonts w:asciiTheme="majorBidi" w:hAnsiTheme="majorBidi" w:cstheme="majorBidi"/>
          <w:b/>
          <w:bCs/>
          <w:sz w:val="20"/>
          <w:szCs w:val="20"/>
          <w:rtl/>
          <w:lang w:bidi="ar-EG"/>
        </w:rPr>
      </w:pPr>
      <w:r w:rsidRPr="009B3BAD">
        <w:rPr>
          <w:rFonts w:asciiTheme="majorBidi" w:hAnsiTheme="majorBidi" w:cstheme="majorBidi"/>
          <w:b/>
          <w:bCs/>
          <w:sz w:val="20"/>
          <w:szCs w:val="20"/>
          <w:rtl/>
        </w:rPr>
        <w:t xml:space="preserve">الكلمات المفتاحية : الأحاديث ، العواقب ، التفسير </w:t>
      </w:r>
    </w:p>
    <w:p w:rsidR="009B3BAD" w:rsidRPr="009B3BAD" w:rsidRDefault="009B3BAD" w:rsidP="009B3BAD">
      <w:pPr>
        <w:pStyle w:val="a4"/>
        <w:numPr>
          <w:ilvl w:val="0"/>
          <w:numId w:val="1"/>
        </w:numPr>
        <w:spacing w:after="120" w:line="276" w:lineRule="auto"/>
        <w:jc w:val="center"/>
        <w:rPr>
          <w:rFonts w:asciiTheme="majorBidi" w:hAnsiTheme="majorBidi" w:cstheme="majorBidi"/>
          <w:b/>
          <w:bCs/>
          <w:sz w:val="20"/>
          <w:szCs w:val="20"/>
          <w:rtl/>
        </w:rPr>
      </w:pPr>
      <w:r w:rsidRPr="009B3BAD">
        <w:rPr>
          <w:rFonts w:asciiTheme="majorBidi" w:hAnsiTheme="majorBidi" w:cstheme="majorBidi"/>
          <w:b/>
          <w:bCs/>
          <w:sz w:val="20"/>
          <w:szCs w:val="20"/>
          <w:rtl/>
        </w:rPr>
        <w:t>المقدمة</w:t>
      </w:r>
    </w:p>
    <w:p w:rsidR="009B3BAD" w:rsidRPr="009B3BAD" w:rsidRDefault="009B3BAD" w:rsidP="009B3BAD">
      <w:pPr>
        <w:pStyle w:val="a3"/>
        <w:bidi/>
        <w:spacing w:before="0" w:beforeAutospacing="0" w:after="120" w:afterAutospacing="0" w:line="276" w:lineRule="auto"/>
        <w:jc w:val="lowKashida"/>
        <w:rPr>
          <w:rFonts w:asciiTheme="majorBidi" w:hAnsiTheme="majorBidi" w:cstheme="majorBidi"/>
          <w:b/>
          <w:bCs/>
          <w:sz w:val="20"/>
          <w:szCs w:val="20"/>
          <w:rtl/>
        </w:rPr>
      </w:pPr>
      <w:r w:rsidRPr="009B3BAD">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9B3BAD">
        <w:rPr>
          <w:rFonts w:asciiTheme="majorBidi" w:eastAsia="Calibri" w:hAnsiTheme="majorBidi" w:cstheme="majorBidi"/>
          <w:b/>
          <w:bCs/>
          <w:sz w:val="20"/>
          <w:szCs w:val="20"/>
          <w:rtl/>
        </w:rPr>
        <w:t>تعريف الحديث الموضوع</w:t>
      </w:r>
    </w:p>
    <w:p w:rsidR="009B3BAD" w:rsidRPr="009B3BAD" w:rsidRDefault="009B3BAD" w:rsidP="009B3BAD">
      <w:pPr>
        <w:pStyle w:val="a3"/>
        <w:numPr>
          <w:ilvl w:val="0"/>
          <w:numId w:val="1"/>
        </w:numPr>
        <w:bidi/>
        <w:spacing w:before="0" w:beforeAutospacing="0" w:after="120" w:afterAutospacing="0" w:line="276" w:lineRule="auto"/>
        <w:jc w:val="center"/>
        <w:rPr>
          <w:rFonts w:asciiTheme="majorBidi" w:hAnsiTheme="majorBidi" w:cstheme="majorBidi"/>
          <w:b/>
          <w:bCs/>
          <w:sz w:val="20"/>
          <w:szCs w:val="20"/>
          <w:rtl/>
        </w:rPr>
      </w:pPr>
      <w:r w:rsidRPr="009B3BAD">
        <w:rPr>
          <w:rFonts w:asciiTheme="majorBidi" w:hAnsiTheme="majorBidi" w:cstheme="majorBidi"/>
          <w:b/>
          <w:bCs/>
          <w:sz w:val="20"/>
          <w:szCs w:val="20"/>
          <w:rtl/>
        </w:rPr>
        <w:t>عنوان المقال</w:t>
      </w:r>
    </w:p>
    <w:p w:rsidR="009B3BAD" w:rsidRPr="009B3BAD" w:rsidRDefault="009B3BAD" w:rsidP="009B3BAD">
      <w:pPr>
        <w:pStyle w:val="a3"/>
        <w:bidi/>
        <w:spacing w:before="0" w:beforeAutospacing="0" w:after="120" w:afterAutospacing="0" w:line="276" w:lineRule="auto"/>
        <w:jc w:val="lowKashida"/>
        <w:rPr>
          <w:rFonts w:asciiTheme="majorBidi" w:hAnsiTheme="majorBidi" w:cstheme="majorBidi"/>
          <w:b/>
          <w:bCs/>
          <w:sz w:val="20"/>
          <w:szCs w:val="20"/>
          <w:rtl/>
        </w:rPr>
      </w:pPr>
      <w:r w:rsidRPr="009B3BAD">
        <w:rPr>
          <w:rFonts w:asciiTheme="majorBidi" w:hAnsiTheme="majorBidi" w:cstheme="majorBidi"/>
          <w:b/>
          <w:bCs/>
          <w:sz w:val="20"/>
          <w:szCs w:val="20"/>
          <w:rtl/>
        </w:rPr>
        <w:t xml:space="preserve">ومما ينبغي أن يعرف أن الأحاديث الموضوعة هي شر أنواع الأحاديث الضعيفة؛ لأنه ينسب كذبًا وزورًا إلى رسول الله </w:t>
      </w:r>
      <w:r w:rsidRPr="009B3BAD">
        <w:rPr>
          <w:rFonts w:asciiTheme="majorBidi" w:hAnsiTheme="majorBidi" w:cstheme="majorBidi"/>
          <w:b/>
          <w:bCs/>
          <w:position w:val="-4"/>
          <w:sz w:val="20"/>
          <w:szCs w:val="20"/>
        </w:rPr>
        <w:t></w:t>
      </w:r>
      <w:r w:rsidRPr="009B3BAD">
        <w:rPr>
          <w:rFonts w:asciiTheme="majorBidi" w:hAnsiTheme="majorBidi" w:cstheme="majorBidi"/>
          <w:b/>
          <w:bCs/>
          <w:sz w:val="20"/>
          <w:szCs w:val="20"/>
          <w:rtl/>
        </w:rPr>
        <w:t xml:space="preserve"> وفي ذلك أسوأ العواقب، وأشنع الآثار، كما أن الأحاديث الموضوعة أخطر شيء على الإطلاق في مجال التفسير بالمأثور؛ لأنه ينسب إلى رسول الله </w:t>
      </w:r>
      <w:r w:rsidRPr="009B3BAD">
        <w:rPr>
          <w:rFonts w:asciiTheme="majorBidi" w:hAnsiTheme="majorBidi" w:cstheme="majorBidi"/>
          <w:b/>
          <w:bCs/>
          <w:position w:val="-4"/>
          <w:sz w:val="20"/>
          <w:szCs w:val="20"/>
        </w:rPr>
        <w:t></w:t>
      </w:r>
      <w:r w:rsidRPr="009B3BAD">
        <w:rPr>
          <w:rFonts w:asciiTheme="majorBidi" w:hAnsiTheme="majorBidi" w:cstheme="majorBidi"/>
          <w:b/>
          <w:bCs/>
          <w:sz w:val="20"/>
          <w:szCs w:val="20"/>
          <w:rtl/>
        </w:rPr>
        <w:t xml:space="preserve"> فيعتقد العامة صدقه فيؤمنون به؛ ويعملون بمقتضاه.</w:t>
      </w:r>
    </w:p>
    <w:p w:rsidR="009B3BAD" w:rsidRPr="009B3BAD" w:rsidRDefault="009B3BAD" w:rsidP="009B3BAD">
      <w:pPr>
        <w:pStyle w:val="a3"/>
        <w:bidi/>
        <w:spacing w:before="0" w:beforeAutospacing="0" w:after="120" w:afterAutospacing="0" w:line="276" w:lineRule="auto"/>
        <w:jc w:val="lowKashida"/>
        <w:rPr>
          <w:rFonts w:asciiTheme="majorBidi" w:hAnsiTheme="majorBidi" w:cstheme="majorBidi"/>
          <w:b/>
          <w:bCs/>
          <w:sz w:val="20"/>
          <w:szCs w:val="20"/>
          <w:rtl/>
        </w:rPr>
      </w:pPr>
      <w:r w:rsidRPr="009B3BAD">
        <w:rPr>
          <w:rFonts w:asciiTheme="majorBidi" w:hAnsiTheme="majorBidi" w:cstheme="majorBidi"/>
          <w:b/>
          <w:bCs/>
          <w:sz w:val="20"/>
          <w:szCs w:val="20"/>
          <w:rtl/>
        </w:rPr>
        <w:t xml:space="preserve">ولهذا جاءت تحذيرات النبي </w:t>
      </w:r>
      <w:r w:rsidRPr="009B3BAD">
        <w:rPr>
          <w:rFonts w:asciiTheme="majorBidi" w:hAnsiTheme="majorBidi" w:cstheme="majorBidi"/>
          <w:b/>
          <w:bCs/>
          <w:position w:val="-4"/>
          <w:sz w:val="20"/>
          <w:szCs w:val="20"/>
        </w:rPr>
        <w:t></w:t>
      </w:r>
      <w:r w:rsidRPr="009B3BAD">
        <w:rPr>
          <w:rFonts w:asciiTheme="majorBidi" w:hAnsiTheme="majorBidi" w:cstheme="majorBidi"/>
          <w:b/>
          <w:bCs/>
          <w:sz w:val="20"/>
          <w:szCs w:val="20"/>
          <w:rtl/>
        </w:rPr>
        <w:t xml:space="preserve"> من أن يقال عليه ما لم يقل، وتوعده لمن يسلك هذا المسلك بنار جهنم يوم القيامة، يقول </w:t>
      </w:r>
      <w:r w:rsidRPr="009B3BAD">
        <w:rPr>
          <w:rFonts w:asciiTheme="majorBidi" w:hAnsiTheme="majorBidi" w:cstheme="majorBidi"/>
          <w:b/>
          <w:bCs/>
          <w:position w:val="-4"/>
          <w:sz w:val="20"/>
          <w:szCs w:val="20"/>
        </w:rPr>
        <w:t></w:t>
      </w:r>
      <w:r w:rsidRPr="009B3BAD">
        <w:rPr>
          <w:rFonts w:asciiTheme="majorBidi" w:hAnsiTheme="majorBidi" w:cstheme="majorBidi"/>
          <w:b/>
          <w:bCs/>
          <w:sz w:val="20"/>
          <w:szCs w:val="20"/>
          <w:rtl/>
        </w:rPr>
        <w:t xml:space="preserve">: </w:t>
      </w:r>
      <w:r w:rsidRPr="009B3BAD">
        <w:rPr>
          <w:rFonts w:asciiTheme="majorBidi" w:hAnsiTheme="majorBidi" w:cstheme="majorBidi"/>
          <w:b/>
          <w:bCs/>
          <w:color w:val="0000FF"/>
          <w:sz w:val="20"/>
          <w:szCs w:val="20"/>
          <w:rtl/>
        </w:rPr>
        <w:t>((من تعمد عليَّ كَذِبًا؛ فليتبوأ مقعده من النار))</w:t>
      </w:r>
      <w:r w:rsidRPr="009B3BAD">
        <w:rPr>
          <w:rFonts w:asciiTheme="majorBidi" w:hAnsiTheme="majorBidi" w:cstheme="majorBidi"/>
          <w:b/>
          <w:bCs/>
          <w:sz w:val="20"/>
          <w:szCs w:val="20"/>
          <w:rtl/>
        </w:rPr>
        <w:t xml:space="preserve"> وإن أشنع الكذب هو ما كان على رسول الله؛ إذ إن الكذب عليه ليس ككذبٍ على غيره من البشر، والكذب على رسول الله كذبٌ على الله سبحانه، وفي هذا يقول </w:t>
      </w:r>
      <w:r w:rsidRPr="009B3BAD">
        <w:rPr>
          <w:rFonts w:asciiTheme="majorBidi" w:hAnsiTheme="majorBidi" w:cstheme="majorBidi"/>
          <w:b/>
          <w:bCs/>
          <w:position w:val="-4"/>
          <w:sz w:val="20"/>
          <w:szCs w:val="20"/>
        </w:rPr>
        <w:t></w:t>
      </w:r>
      <w:r w:rsidRPr="009B3BAD">
        <w:rPr>
          <w:rFonts w:asciiTheme="majorBidi" w:hAnsiTheme="majorBidi" w:cstheme="majorBidi"/>
          <w:b/>
          <w:bCs/>
          <w:sz w:val="20"/>
          <w:szCs w:val="20"/>
          <w:rtl/>
        </w:rPr>
        <w:t xml:space="preserve">: </w:t>
      </w:r>
      <w:r w:rsidRPr="009B3BAD">
        <w:rPr>
          <w:rFonts w:asciiTheme="majorBidi" w:hAnsiTheme="majorBidi" w:cstheme="majorBidi"/>
          <w:b/>
          <w:bCs/>
          <w:color w:val="0000FF"/>
          <w:sz w:val="20"/>
          <w:szCs w:val="20"/>
          <w:rtl/>
        </w:rPr>
        <w:t>((إن كذبًا علي</w:t>
      </w:r>
      <w:r w:rsidRPr="009B3BAD">
        <w:rPr>
          <w:rFonts w:asciiTheme="majorBidi" w:hAnsiTheme="majorBidi" w:cstheme="majorBidi"/>
          <w:b/>
          <w:bCs/>
          <w:color w:val="0000FF"/>
          <w:sz w:val="20"/>
          <w:szCs w:val="20"/>
          <w:rtl/>
          <w:lang w:bidi="ar-EG"/>
        </w:rPr>
        <w:t>َّ</w:t>
      </w:r>
      <w:r w:rsidRPr="009B3BAD">
        <w:rPr>
          <w:rFonts w:asciiTheme="majorBidi" w:hAnsiTheme="majorBidi" w:cstheme="majorBidi"/>
          <w:b/>
          <w:bCs/>
          <w:color w:val="0000FF"/>
          <w:sz w:val="20"/>
          <w:szCs w:val="20"/>
          <w:rtl/>
        </w:rPr>
        <w:t xml:space="preserve"> ليس ككذبٍ على أحد، فَمَن كذبْ علي متعمدًا؛ فليتبوأ مقعدَهُ من النار))</w:t>
      </w:r>
      <w:r w:rsidRPr="009B3BAD">
        <w:rPr>
          <w:rFonts w:asciiTheme="majorBidi" w:hAnsiTheme="majorBidi" w:cstheme="majorBidi"/>
          <w:b/>
          <w:bCs/>
          <w:sz w:val="20"/>
          <w:szCs w:val="20"/>
          <w:rtl/>
        </w:rPr>
        <w:t xml:space="preserve"> وعند ذلك نبدأ بتعريف الحديث الموضوع في اللغة والاصطلاح، ونتعرف متى نشأ الوضع في التفسير بالمأثور.</w:t>
      </w:r>
    </w:p>
    <w:p w:rsidR="009B3BAD" w:rsidRPr="009B3BAD" w:rsidRDefault="009B3BAD" w:rsidP="009B3BAD">
      <w:pPr>
        <w:pStyle w:val="a3"/>
        <w:bidi/>
        <w:spacing w:before="0" w:beforeAutospacing="0" w:after="120" w:afterAutospacing="0" w:line="276" w:lineRule="auto"/>
        <w:jc w:val="lowKashida"/>
        <w:rPr>
          <w:rFonts w:asciiTheme="majorBidi" w:hAnsiTheme="majorBidi" w:cstheme="majorBidi"/>
          <w:b/>
          <w:bCs/>
          <w:sz w:val="20"/>
          <w:szCs w:val="20"/>
          <w:rtl/>
        </w:rPr>
      </w:pPr>
      <w:r w:rsidRPr="009B3BAD">
        <w:rPr>
          <w:rFonts w:asciiTheme="majorBidi" w:hAnsiTheme="majorBidi" w:cstheme="majorBidi"/>
          <w:b/>
          <w:bCs/>
          <w:sz w:val="20"/>
          <w:szCs w:val="20"/>
          <w:rtl/>
        </w:rPr>
        <w:t>الحديث الموضوع تعريفه لغة؛ مأخوذٌ من وضع الشيء يضعه وضعًا إذا حطه وأسقطه، أو من وضعت المرأة ولدها إذا ولدتْهُ؛ فالحديث الموضوع ساقط، ومنحط عن الاعتبار، ومتولد؛ لأنه شيء جَدَّ وَوُجِدَ ما كان موجودًا من قبل؛ هذا تعريفه في اللغة.</w:t>
      </w:r>
    </w:p>
    <w:p w:rsidR="009B3BAD" w:rsidRPr="009B3BAD" w:rsidRDefault="009B3BAD" w:rsidP="009B3BAD">
      <w:pPr>
        <w:pStyle w:val="a3"/>
        <w:bidi/>
        <w:spacing w:before="0" w:beforeAutospacing="0" w:after="120" w:afterAutospacing="0" w:line="276" w:lineRule="auto"/>
        <w:jc w:val="lowKashida"/>
        <w:rPr>
          <w:rFonts w:asciiTheme="majorBidi" w:hAnsiTheme="majorBidi" w:cstheme="majorBidi"/>
          <w:b/>
          <w:bCs/>
          <w:sz w:val="20"/>
          <w:szCs w:val="20"/>
        </w:rPr>
      </w:pPr>
      <w:r w:rsidRPr="009B3BAD">
        <w:rPr>
          <w:rFonts w:asciiTheme="majorBidi" w:hAnsiTheme="majorBidi" w:cstheme="majorBidi"/>
          <w:b/>
          <w:bCs/>
          <w:spacing w:val="-2"/>
          <w:sz w:val="20"/>
          <w:szCs w:val="20"/>
          <w:rtl/>
        </w:rPr>
        <w:t xml:space="preserve">أما في الاصطلاح؛ فأئمة الحديث، وعلى رأسهم الإمام النووي قد عَرَّفُوا هذا الحديث فقال: الحديث الموضوع هو المختلق المصنوع المكذوب على رسول الله </w:t>
      </w:r>
      <w:r w:rsidRPr="009B3BAD">
        <w:rPr>
          <w:rFonts w:asciiTheme="majorBidi" w:hAnsiTheme="majorBidi" w:cstheme="majorBidi"/>
          <w:b/>
          <w:bCs/>
          <w:spacing w:val="-2"/>
          <w:position w:val="-4"/>
          <w:sz w:val="20"/>
          <w:szCs w:val="20"/>
        </w:rPr>
        <w:t></w:t>
      </w:r>
      <w:r w:rsidRPr="009B3BAD">
        <w:rPr>
          <w:rFonts w:asciiTheme="majorBidi" w:hAnsiTheme="majorBidi" w:cstheme="majorBidi"/>
          <w:b/>
          <w:bCs/>
          <w:sz w:val="20"/>
          <w:szCs w:val="20"/>
          <w:rtl/>
        </w:rPr>
        <w:t xml:space="preserve"> أو على من بعده من الصحابة والتابعين، وهو شر أنواع الضعيف، وهذا الحديث الموضوع آثاره السيئة كثيرة وشديدة الخطر، وعرفه صاحب (الباعث الحثيث)، بقوله: الخبر الموضوع هو المختلق المصنوع، وهو الذي نسبه الكذابون المفترون إلى رسول الله </w:t>
      </w:r>
      <w:r w:rsidRPr="009B3BAD">
        <w:rPr>
          <w:rFonts w:asciiTheme="majorBidi" w:hAnsiTheme="majorBidi" w:cstheme="majorBidi"/>
          <w:b/>
          <w:bCs/>
          <w:position w:val="-4"/>
          <w:sz w:val="20"/>
          <w:szCs w:val="20"/>
        </w:rPr>
        <w:t></w:t>
      </w:r>
      <w:r w:rsidRPr="009B3BAD">
        <w:rPr>
          <w:rFonts w:asciiTheme="majorBidi" w:hAnsiTheme="majorBidi" w:cstheme="majorBidi"/>
          <w:b/>
          <w:bCs/>
          <w:sz w:val="20"/>
          <w:szCs w:val="20"/>
          <w:rtl/>
        </w:rPr>
        <w:t xml:space="preserve"> وهو شر أنواع الرواية.</w:t>
      </w:r>
    </w:p>
    <w:p w:rsidR="009B3BAD" w:rsidRPr="009B3BAD" w:rsidRDefault="009B3BAD" w:rsidP="009B3BAD">
      <w:pPr>
        <w:pStyle w:val="a3"/>
        <w:bidi/>
        <w:spacing w:before="0" w:beforeAutospacing="0" w:after="120" w:afterAutospacing="0" w:line="276" w:lineRule="auto"/>
        <w:jc w:val="lowKashida"/>
        <w:rPr>
          <w:rFonts w:asciiTheme="majorBidi" w:hAnsiTheme="majorBidi" w:cstheme="majorBidi"/>
          <w:b/>
          <w:bCs/>
          <w:sz w:val="20"/>
          <w:szCs w:val="20"/>
          <w:rtl/>
        </w:rPr>
      </w:pPr>
      <w:r w:rsidRPr="009B3BAD">
        <w:rPr>
          <w:rFonts w:asciiTheme="majorBidi" w:hAnsiTheme="majorBidi" w:cstheme="majorBidi"/>
          <w:b/>
          <w:bCs/>
          <w:sz w:val="20"/>
          <w:szCs w:val="20"/>
          <w:rtl/>
        </w:rPr>
        <w:t xml:space="preserve">ونعود إلى هذا الحديث الموضوع سواء اختلقه الوضاعون من عند أنفسهم ونسبوه كذبًا إلى رسول الله </w:t>
      </w:r>
      <w:r w:rsidRPr="009B3BAD">
        <w:rPr>
          <w:rFonts w:asciiTheme="majorBidi" w:hAnsiTheme="majorBidi" w:cstheme="majorBidi"/>
          <w:b/>
          <w:bCs/>
          <w:position w:val="-4"/>
          <w:sz w:val="20"/>
          <w:szCs w:val="20"/>
        </w:rPr>
        <w:t></w:t>
      </w:r>
      <w:r w:rsidRPr="009B3BAD">
        <w:rPr>
          <w:rFonts w:asciiTheme="majorBidi" w:hAnsiTheme="majorBidi" w:cstheme="majorBidi"/>
          <w:b/>
          <w:bCs/>
          <w:sz w:val="20"/>
          <w:szCs w:val="20"/>
          <w:rtl/>
        </w:rPr>
        <w:t xml:space="preserve"> أو أخذوه من كلام غيرهم من الإسرائيليات، أو حتى من كلام الصحابة، ونسبوه كذبًا إلى رسول الله، أو من كلام التابعين أو الصوفية أو الأطباء أو الحكماء، ثم ينسبونه كذبًا للرسول </w:t>
      </w:r>
      <w:r w:rsidRPr="009B3BAD">
        <w:rPr>
          <w:rFonts w:asciiTheme="majorBidi" w:hAnsiTheme="majorBidi" w:cstheme="majorBidi"/>
          <w:b/>
          <w:bCs/>
          <w:position w:val="-4"/>
          <w:sz w:val="20"/>
          <w:szCs w:val="20"/>
        </w:rPr>
        <w:t></w:t>
      </w:r>
      <w:r w:rsidRPr="009B3BAD">
        <w:rPr>
          <w:rFonts w:asciiTheme="majorBidi" w:hAnsiTheme="majorBidi" w:cstheme="majorBidi"/>
          <w:b/>
          <w:bCs/>
          <w:sz w:val="20"/>
          <w:szCs w:val="20"/>
          <w:rtl/>
        </w:rPr>
        <w:t xml:space="preserve"> ليلقى رواجًا وقبولًا.</w:t>
      </w:r>
    </w:p>
    <w:p w:rsidR="009B3BAD" w:rsidRPr="009B3BAD" w:rsidRDefault="009B3BAD" w:rsidP="009B3BAD">
      <w:pPr>
        <w:pStyle w:val="a3"/>
        <w:bidi/>
        <w:spacing w:before="0" w:beforeAutospacing="0" w:after="120" w:afterAutospacing="0" w:line="276" w:lineRule="auto"/>
        <w:jc w:val="lowKashida"/>
        <w:rPr>
          <w:rFonts w:asciiTheme="majorBidi" w:hAnsiTheme="majorBidi" w:cstheme="majorBidi"/>
          <w:b/>
          <w:bCs/>
          <w:sz w:val="20"/>
          <w:szCs w:val="20"/>
          <w:rtl/>
        </w:rPr>
      </w:pPr>
      <w:r w:rsidRPr="009B3BAD">
        <w:rPr>
          <w:rFonts w:asciiTheme="majorBidi" w:hAnsiTheme="majorBidi" w:cstheme="majorBidi"/>
          <w:b/>
          <w:bCs/>
          <w:sz w:val="20"/>
          <w:szCs w:val="20"/>
          <w:rtl/>
        </w:rPr>
        <w:t xml:space="preserve">فمن كلام الإسرائيليات الحديث الذي يروى كثيرًا ونصه: "ما وسعني أرضي ولا سمائي، ولكن وسعني قلب عبدي المؤمن". قال الإمام ابن تيمية: ليس له أصل معروف عن النبي </w:t>
      </w:r>
      <w:r w:rsidRPr="009B3BAD">
        <w:rPr>
          <w:rFonts w:asciiTheme="majorBidi" w:hAnsiTheme="majorBidi" w:cstheme="majorBidi"/>
          <w:b/>
          <w:bCs/>
          <w:position w:val="-4"/>
          <w:sz w:val="20"/>
          <w:szCs w:val="20"/>
        </w:rPr>
        <w:t></w:t>
      </w:r>
      <w:r w:rsidRPr="009B3BAD">
        <w:rPr>
          <w:rFonts w:asciiTheme="majorBidi" w:hAnsiTheme="majorBidi" w:cstheme="majorBidi"/>
          <w:b/>
          <w:bCs/>
          <w:sz w:val="20"/>
          <w:szCs w:val="20"/>
          <w:rtl/>
        </w:rPr>
        <w:t xml:space="preserve"> ومثل الحديث المروي من </w:t>
      </w:r>
      <w:r w:rsidRPr="009B3BAD">
        <w:rPr>
          <w:rFonts w:asciiTheme="majorBidi" w:hAnsiTheme="majorBidi" w:cstheme="majorBidi"/>
          <w:b/>
          <w:bCs/>
          <w:sz w:val="20"/>
          <w:szCs w:val="20"/>
          <w:rtl/>
        </w:rPr>
        <w:lastRenderedPageBreak/>
        <w:t>الإسرائيليات أيضًا ومنسوب إلى ابن عباس؛ يعني: ممكن الحديث ينسب إلى رسول الله، وهو من اختلاق قائِلِهِ، أو ينقله عن آخرين، وينسبه إلى الرسول، ويمكن أن ينسبه إلى أحد أصحابه أيضًا، وهو نوع من الكذب؛ فقد روي أيضًا عن ابن عباس: "أن عمر الدنيا سبعة آلاف سنة" وهو أيضًا كلام غير صحيح.</w:t>
      </w:r>
    </w:p>
    <w:p w:rsidR="009B3BAD" w:rsidRPr="009B3BAD" w:rsidRDefault="009B3BAD" w:rsidP="009B3BAD">
      <w:pPr>
        <w:pStyle w:val="a3"/>
        <w:bidi/>
        <w:spacing w:before="0" w:beforeAutospacing="0" w:after="120" w:afterAutospacing="0" w:line="276" w:lineRule="auto"/>
        <w:jc w:val="lowKashida"/>
        <w:rPr>
          <w:rFonts w:asciiTheme="majorBidi" w:hAnsiTheme="majorBidi" w:cstheme="majorBidi"/>
          <w:b/>
          <w:bCs/>
          <w:sz w:val="20"/>
          <w:szCs w:val="20"/>
          <w:rtl/>
        </w:rPr>
      </w:pPr>
      <w:r w:rsidRPr="009B3BAD">
        <w:rPr>
          <w:rFonts w:asciiTheme="majorBidi" w:hAnsiTheme="majorBidi" w:cstheme="majorBidi"/>
          <w:b/>
          <w:bCs/>
          <w:sz w:val="20"/>
          <w:szCs w:val="20"/>
          <w:rtl/>
        </w:rPr>
        <w:t>ومن كلام الصوفية ما نسبوه أيضًا إلى الحديث حتى جعلوه حديثًا قدسيًّا نصه: "كنت كنزًا مخفيًّا، فأحببت أن أعرف فخلقت الخلق، فعَرَّفْتُهُم بي فعرفوني" هذه الأحاديث، وأنواع أخر سوف نذكرها، ونذكر منها نماذج عديدة؛ لنتعرف على ما ذكر تحت هذا العنوان في الأحاديث الموضوعة مما أفسد، وكان له آثار سيئة في كتب تراثنا، وبخاصة كتب التفسير.</w:t>
      </w:r>
    </w:p>
    <w:p w:rsidR="009B3BAD" w:rsidRPr="009B3BAD" w:rsidRDefault="009B3BAD" w:rsidP="009B3BAD">
      <w:pPr>
        <w:pStyle w:val="a3"/>
        <w:bidi/>
        <w:spacing w:before="0" w:beforeAutospacing="0" w:after="120" w:afterAutospacing="0" w:line="276" w:lineRule="auto"/>
        <w:jc w:val="lowKashida"/>
        <w:rPr>
          <w:rFonts w:asciiTheme="majorBidi" w:hAnsiTheme="majorBidi" w:cstheme="majorBidi"/>
          <w:b/>
          <w:bCs/>
          <w:sz w:val="20"/>
          <w:szCs w:val="20"/>
          <w:rtl/>
        </w:rPr>
      </w:pPr>
      <w:r w:rsidRPr="009B3BAD">
        <w:rPr>
          <w:rFonts w:asciiTheme="majorBidi" w:hAnsiTheme="majorBidi" w:cstheme="majorBidi"/>
          <w:b/>
          <w:bCs/>
          <w:sz w:val="20"/>
          <w:szCs w:val="20"/>
          <w:rtl/>
        </w:rPr>
        <w:t xml:space="preserve">حكم الكذب على رسول الله باختصار: جمهور العلماء على أن الكذب على رسول الله </w:t>
      </w:r>
      <w:r w:rsidRPr="009B3BAD">
        <w:rPr>
          <w:rFonts w:asciiTheme="majorBidi" w:hAnsiTheme="majorBidi" w:cstheme="majorBidi"/>
          <w:b/>
          <w:bCs/>
          <w:position w:val="-4"/>
          <w:sz w:val="20"/>
          <w:szCs w:val="20"/>
        </w:rPr>
        <w:t></w:t>
      </w:r>
      <w:r w:rsidRPr="009B3BAD">
        <w:rPr>
          <w:rFonts w:asciiTheme="majorBidi" w:hAnsiTheme="majorBidi" w:cstheme="majorBidi"/>
          <w:b/>
          <w:bCs/>
          <w:sz w:val="20"/>
          <w:szCs w:val="20"/>
          <w:rtl/>
        </w:rPr>
        <w:t xml:space="preserve"> من أكبر الكبائر، ومن أقبح الذنوب، بل عده أحد العلماء كفرًا، فقد جزم الشيخ أبو محمد الجويني، والد إمام الحرمين جزم بتكفير واضع الحديث؛ الجويني هذا من بلد اسمها جوين ناحية من نواحي نيسابور، حكم بتكفير واضع الحديث، وهذا كلام ينسب إليه، ووافقه الإمام ناصر الدين أحمد بن محمد بن المنير المالكي صاحب التعليق وكشف الاعتزاليات في كتاب (الكشاف) للزمخشري، وتابعه أيضًا بعض الحنابلة، والإمام الذهبي وافقهم على هذا الرأي في تعمد الكذب في الحلال والحرام؛ قال: إن الكذب في الحلال والحرام يكفر به صاحبه، هذا باختصارٍ شديدٍ، ومعنا الحديث الذي بلغ مبلغ التواتر: </w:t>
      </w:r>
      <w:r w:rsidRPr="009B3BAD">
        <w:rPr>
          <w:rFonts w:asciiTheme="majorBidi" w:hAnsiTheme="majorBidi" w:cstheme="majorBidi"/>
          <w:b/>
          <w:bCs/>
          <w:color w:val="0000FF"/>
          <w:sz w:val="20"/>
          <w:szCs w:val="20"/>
          <w:rtl/>
        </w:rPr>
        <w:t>((إن كذبًا علي ليس ككذب على أحد فمن كذب علي متعمدًا فليتبوأ مقعده من النار))</w:t>
      </w:r>
      <w:r w:rsidRPr="009B3BAD">
        <w:rPr>
          <w:rFonts w:asciiTheme="majorBidi" w:hAnsiTheme="majorBidi" w:cstheme="majorBidi"/>
          <w:b/>
          <w:bCs/>
          <w:sz w:val="20"/>
          <w:szCs w:val="20"/>
          <w:rtl/>
        </w:rPr>
        <w:t xml:space="preserve"> الحديث متفق عليه، وروي من طرقٍ كثيرة حتى قال العلماء: إنه متواتر.</w:t>
      </w:r>
    </w:p>
    <w:p w:rsidR="009B3BAD" w:rsidRPr="009B3BAD" w:rsidRDefault="009B3BAD" w:rsidP="009B3BAD">
      <w:pPr>
        <w:pStyle w:val="a3"/>
        <w:bidi/>
        <w:spacing w:before="0" w:beforeAutospacing="0" w:after="120" w:afterAutospacing="0" w:line="276" w:lineRule="auto"/>
        <w:jc w:val="lowKashida"/>
        <w:rPr>
          <w:rFonts w:asciiTheme="majorBidi" w:hAnsiTheme="majorBidi" w:cstheme="majorBidi"/>
          <w:b/>
          <w:bCs/>
          <w:sz w:val="20"/>
          <w:szCs w:val="20"/>
          <w:rtl/>
        </w:rPr>
      </w:pPr>
      <w:r w:rsidRPr="009B3BAD">
        <w:rPr>
          <w:rFonts w:asciiTheme="majorBidi" w:hAnsiTheme="majorBidi" w:cstheme="majorBidi"/>
          <w:b/>
          <w:bCs/>
          <w:sz w:val="20"/>
          <w:szCs w:val="20"/>
          <w:rtl/>
        </w:rPr>
        <w:t>والمسألة التالية هذا الوضع في التفسير بالمأثور -وضع الأحاديث- وامتلاء كتب التفسير بها متى نشأ؟.</w:t>
      </w:r>
    </w:p>
    <w:p w:rsidR="009B3BAD" w:rsidRPr="009B3BAD" w:rsidRDefault="009B3BAD" w:rsidP="009B3BAD">
      <w:pPr>
        <w:pStyle w:val="a3"/>
        <w:bidi/>
        <w:spacing w:before="0" w:beforeAutospacing="0" w:after="120" w:afterAutospacing="0" w:line="276" w:lineRule="auto"/>
        <w:jc w:val="lowKashida"/>
        <w:rPr>
          <w:rFonts w:asciiTheme="majorBidi" w:hAnsiTheme="majorBidi" w:cstheme="majorBidi"/>
          <w:b/>
          <w:bCs/>
          <w:sz w:val="20"/>
          <w:szCs w:val="20"/>
          <w:rtl/>
        </w:rPr>
      </w:pPr>
      <w:r w:rsidRPr="009B3BAD">
        <w:rPr>
          <w:rFonts w:asciiTheme="majorBidi" w:hAnsiTheme="majorBidi" w:cstheme="majorBidi"/>
          <w:b/>
          <w:bCs/>
          <w:sz w:val="20"/>
          <w:szCs w:val="20"/>
          <w:rtl/>
        </w:rPr>
        <w:t>نشأ الوضع في التفسير مع نشأة الوضع في الحديث؛ لأن التفسير والحديث كانا مزيجًا لا يستقل أحدهما عن الآخر؛ فكما نجد الحديث الصحيح، والحسن، والضعيف، وفي رواية من هو موثوق به، ومن هو مشكوك فيه، ومن عرف بالوضع نجد مثل ذلك فيما روي من التفسير، ومن روى من المفسرين.</w:t>
      </w:r>
    </w:p>
    <w:p w:rsidR="009B3BAD" w:rsidRPr="009B3BAD" w:rsidRDefault="009B3BAD" w:rsidP="009B3BAD">
      <w:pPr>
        <w:pStyle w:val="a3"/>
        <w:bidi/>
        <w:spacing w:before="0" w:beforeAutospacing="0" w:after="120" w:afterAutospacing="0" w:line="276" w:lineRule="auto"/>
        <w:jc w:val="lowKashida"/>
        <w:rPr>
          <w:rFonts w:asciiTheme="majorBidi" w:hAnsiTheme="majorBidi" w:cstheme="majorBidi"/>
          <w:b/>
          <w:bCs/>
          <w:sz w:val="20"/>
          <w:szCs w:val="20"/>
          <w:rtl/>
        </w:rPr>
      </w:pPr>
      <w:r w:rsidRPr="009B3BAD">
        <w:rPr>
          <w:rFonts w:asciiTheme="majorBidi" w:hAnsiTheme="majorBidi" w:cstheme="majorBidi"/>
          <w:b/>
          <w:bCs/>
          <w:sz w:val="20"/>
          <w:szCs w:val="20"/>
          <w:rtl/>
        </w:rPr>
        <w:t xml:space="preserve">وكان مبدأ ظهور الوضع في الحديث، كما قال كثيرٌ من العلماء: سنة أربعين، أو إحدى وأربعين من الهجرة، كما ذكر شيخنا الشيخ الذهبي في (التفسير والمفسرون) أو في أواخر عصر الخلفاء الراشدين وأوائل عصر بني أمية حين وقعت الفتنة بين المسلمين، وتم أن قتل سيدنا عثمان </w:t>
      </w:r>
      <w:r w:rsidRPr="009B3BAD">
        <w:rPr>
          <w:rFonts w:asciiTheme="majorBidi" w:hAnsiTheme="majorBidi" w:cstheme="majorBidi"/>
          <w:b/>
          <w:bCs/>
          <w:position w:val="-4"/>
          <w:sz w:val="20"/>
          <w:szCs w:val="20"/>
          <w:rtl/>
        </w:rPr>
        <w:t>&gt;</w:t>
      </w:r>
      <w:r w:rsidRPr="009B3BAD">
        <w:rPr>
          <w:rFonts w:asciiTheme="majorBidi" w:hAnsiTheme="majorBidi" w:cstheme="majorBidi"/>
          <w:b/>
          <w:bCs/>
          <w:sz w:val="20"/>
          <w:szCs w:val="20"/>
          <w:rtl/>
        </w:rPr>
        <w:t xml:space="preserve"> واختلف المسلمون سياسيًّا، وتفرقوا إلى شيعة وخوارج وجمهور أهل السنة، والخوارج يعادون الشيعة، وهناك فرق أخرى.</w:t>
      </w:r>
    </w:p>
    <w:p w:rsidR="009B3BAD" w:rsidRPr="009B3BAD" w:rsidRDefault="009B3BAD" w:rsidP="009B3BAD">
      <w:pPr>
        <w:pStyle w:val="a3"/>
        <w:bidi/>
        <w:spacing w:before="0" w:beforeAutospacing="0" w:after="120" w:afterAutospacing="0" w:line="276" w:lineRule="auto"/>
        <w:jc w:val="lowKashida"/>
        <w:rPr>
          <w:rFonts w:asciiTheme="majorBidi" w:hAnsiTheme="majorBidi" w:cstheme="majorBidi"/>
          <w:b/>
          <w:bCs/>
          <w:sz w:val="20"/>
          <w:szCs w:val="20"/>
          <w:rtl/>
        </w:rPr>
      </w:pPr>
      <w:r w:rsidRPr="009B3BAD">
        <w:rPr>
          <w:rFonts w:asciiTheme="majorBidi" w:hAnsiTheme="majorBidi" w:cstheme="majorBidi"/>
          <w:b/>
          <w:bCs/>
          <w:sz w:val="20"/>
          <w:szCs w:val="20"/>
          <w:rtl/>
        </w:rPr>
        <w:t>ووجد من أهل البدع من روجوا بدعهم وتعصبوا لأهوائهم، ودخل في الإسلام ناس من أهل البدع، ومن أبطن الكفر والتحق بالإسلام، ومنهم من أخفى إسلامه بغرض الكيد للإسلام، وتضليل أهله، فوضعوا الروايات الباطلة؛ ليصلوا بها إلى أغراضهِم السيئة ولينتصروا لفرقِهم ويؤيدوا مذاهبهم، واستمرت حركة الوضع تتضخم، وفشا الكذب وانتشر حتى امتلأت كتب التفسير وغيرها بالأباطيل.</w:t>
      </w:r>
    </w:p>
    <w:p w:rsidR="009B3BAD" w:rsidRPr="009B3BAD" w:rsidRDefault="009B3BAD" w:rsidP="009B3BAD">
      <w:pPr>
        <w:pStyle w:val="a3"/>
        <w:bidi/>
        <w:spacing w:line="276" w:lineRule="auto"/>
        <w:jc w:val="lowKashida"/>
        <w:rPr>
          <w:rFonts w:asciiTheme="majorBidi" w:hAnsiTheme="majorBidi" w:cstheme="majorBidi"/>
          <w:b/>
          <w:bCs/>
          <w:color w:val="000080"/>
          <w:sz w:val="20"/>
          <w:szCs w:val="20"/>
          <w:rtl/>
          <w:lang w:bidi="ar-EG"/>
        </w:rPr>
      </w:pPr>
      <w:r w:rsidRPr="009B3BAD">
        <w:rPr>
          <w:rFonts w:asciiTheme="majorBidi" w:hAnsiTheme="majorBidi" w:cstheme="majorBidi"/>
          <w:b/>
          <w:bCs/>
          <w:color w:val="000080"/>
          <w:sz w:val="20"/>
          <w:szCs w:val="20"/>
          <w:rtl/>
          <w:lang w:bidi="ar-EG"/>
        </w:rPr>
        <w:lastRenderedPageBreak/>
        <w:t>أسباب توالي حركة الوضع:</w:t>
      </w:r>
    </w:p>
    <w:p w:rsidR="009B3BAD" w:rsidRPr="009B3BAD" w:rsidRDefault="009B3BAD" w:rsidP="009B3BAD">
      <w:pPr>
        <w:pStyle w:val="a3"/>
        <w:bidi/>
        <w:spacing w:before="0" w:beforeAutospacing="0" w:after="120" w:afterAutospacing="0" w:line="276" w:lineRule="auto"/>
        <w:jc w:val="lowKashida"/>
        <w:rPr>
          <w:rFonts w:asciiTheme="majorBidi" w:hAnsiTheme="majorBidi" w:cstheme="majorBidi"/>
          <w:b/>
          <w:bCs/>
          <w:sz w:val="20"/>
          <w:szCs w:val="20"/>
          <w:rtl/>
        </w:rPr>
      </w:pPr>
      <w:r w:rsidRPr="009B3BAD">
        <w:rPr>
          <w:rFonts w:asciiTheme="majorBidi" w:hAnsiTheme="majorBidi" w:cstheme="majorBidi"/>
          <w:b/>
          <w:bCs/>
          <w:sz w:val="20"/>
          <w:szCs w:val="20"/>
          <w:rtl/>
        </w:rPr>
        <w:t>لو نظرنا إلى أسباب الوضع في التفسير بالمأثور، وكتب التفسير بالمأثور هي أكثر كتب التفسير فيها قدر كبير من الأحاديث الموضوعة؛ أول الأسباب في وضع الأحاديث:</w:t>
      </w:r>
    </w:p>
    <w:p w:rsidR="009B3BAD" w:rsidRPr="009B3BAD" w:rsidRDefault="009B3BAD" w:rsidP="009B3BAD">
      <w:pPr>
        <w:pStyle w:val="a3"/>
        <w:bidi/>
        <w:spacing w:before="0" w:beforeAutospacing="0" w:after="120" w:afterAutospacing="0" w:line="276" w:lineRule="auto"/>
        <w:jc w:val="lowKashida"/>
        <w:rPr>
          <w:rFonts w:asciiTheme="majorBidi" w:hAnsiTheme="majorBidi" w:cstheme="majorBidi"/>
          <w:b/>
          <w:bCs/>
          <w:sz w:val="20"/>
          <w:szCs w:val="20"/>
          <w:rtl/>
        </w:rPr>
      </w:pPr>
      <w:r w:rsidRPr="009B3BAD">
        <w:rPr>
          <w:rFonts w:asciiTheme="majorBidi" w:hAnsiTheme="majorBidi" w:cstheme="majorBidi"/>
          <w:b/>
          <w:bCs/>
          <w:color w:val="000080"/>
          <w:sz w:val="20"/>
          <w:szCs w:val="20"/>
          <w:rtl/>
          <w:lang w:bidi="ar-EG"/>
        </w:rPr>
        <w:t>أولًا:</w:t>
      </w:r>
      <w:r w:rsidRPr="009B3BAD">
        <w:rPr>
          <w:rFonts w:asciiTheme="majorBidi" w:hAnsiTheme="majorBidi" w:cstheme="majorBidi"/>
          <w:b/>
          <w:bCs/>
          <w:sz w:val="20"/>
          <w:szCs w:val="20"/>
          <w:rtl/>
        </w:rPr>
        <w:t xml:space="preserve"> الزندقة: تطلق الزندقة على أتباع دين المجوس مع التظاهر بالإسلام فهم يبطنون الكفر ويظهرون الإسلام، وقد اتسع إطلاق الزندقة؛ فصارت تطلق على الملحدين الذين لا دين لهم، كما أطلقت أيضًا على الإباحيين الذين يتحججون بالقول فيما يمس الدين، وكان الطريق الذي سلكه الزنادقة لانتشار الزندقة هو الكذب على رسول الله </w:t>
      </w:r>
      <w:r w:rsidRPr="009B3BAD">
        <w:rPr>
          <w:rFonts w:asciiTheme="majorBidi" w:hAnsiTheme="majorBidi" w:cstheme="majorBidi"/>
          <w:b/>
          <w:bCs/>
          <w:position w:val="-4"/>
          <w:sz w:val="20"/>
          <w:szCs w:val="20"/>
        </w:rPr>
        <w:t></w:t>
      </w:r>
      <w:r w:rsidRPr="009B3BAD">
        <w:rPr>
          <w:rFonts w:asciiTheme="majorBidi" w:hAnsiTheme="majorBidi" w:cstheme="majorBidi"/>
          <w:b/>
          <w:bCs/>
          <w:sz w:val="20"/>
          <w:szCs w:val="20"/>
          <w:rtl/>
        </w:rPr>
        <w:t xml:space="preserve"> لإثارة الشبه، وسوق المطاعن؛ رغبة منهم في تنفير الناس من الإسلام والتحلل من أحكامه حتى تضعف قوة المسلمين. </w:t>
      </w:r>
    </w:p>
    <w:p w:rsidR="009556CB" w:rsidRPr="009B3BAD" w:rsidRDefault="009B3BAD" w:rsidP="009B3BAD">
      <w:pPr>
        <w:rPr>
          <w:rFonts w:asciiTheme="majorBidi" w:hAnsiTheme="majorBidi" w:cstheme="majorBidi"/>
          <w:b/>
          <w:bCs/>
          <w:sz w:val="20"/>
          <w:szCs w:val="20"/>
          <w:rtl/>
        </w:rPr>
      </w:pPr>
      <w:r w:rsidRPr="009B3BAD">
        <w:rPr>
          <w:rFonts w:asciiTheme="majorBidi" w:hAnsiTheme="majorBidi" w:cstheme="majorBidi"/>
          <w:b/>
          <w:bCs/>
          <w:sz w:val="20"/>
          <w:szCs w:val="20"/>
          <w:rtl/>
        </w:rPr>
        <w:t xml:space="preserve">انظر  (فتح المغيث) للإمام السخاوي، وانظر  أيضًا كتاب (السنة النبوية في مواجهة التحدي) للأستاذ الدكتور أحمد عمر هاشم شيخنا؛ فقد نقل مثل هذا وبين أن أسباب الزندقة أو أسباب الوضع منها الزندقة والكراهية، والحقد الراسخ في أذهان أهله للإسلام، والمسلمين؛ فلما وجد هؤلاء الزنادقة أكثر مقدسات المسلمين هو القرآن الكريم، ولما عجزوا من النيل من القرآن؛ لأن الله </w:t>
      </w:r>
      <w:r w:rsidRPr="009B3BAD">
        <w:rPr>
          <w:rFonts w:asciiTheme="majorBidi" w:hAnsiTheme="majorBidi" w:cstheme="majorBidi"/>
          <w:b/>
          <w:bCs/>
          <w:position w:val="-4"/>
          <w:sz w:val="20"/>
          <w:szCs w:val="20"/>
        </w:rPr>
        <w:t></w:t>
      </w:r>
      <w:r w:rsidRPr="009B3BAD">
        <w:rPr>
          <w:rFonts w:asciiTheme="majorBidi" w:hAnsiTheme="majorBidi" w:cstheme="majorBidi"/>
          <w:b/>
          <w:bCs/>
          <w:sz w:val="20"/>
          <w:szCs w:val="20"/>
          <w:rtl/>
        </w:rPr>
        <w:t xml:space="preserve"> قد وعد بأنه حافظ كتابه، فهذا الوعد في قوله: </w:t>
      </w:r>
      <w:r w:rsidRPr="009B3BAD">
        <w:rPr>
          <w:rFonts w:ascii="Tahoma" w:hAnsi="Tahoma" w:cs="DecoType Thuluth" w:hint="cs"/>
          <w:color w:val="008000"/>
          <w:sz w:val="20"/>
          <w:szCs w:val="20"/>
          <w:rtl/>
        </w:rPr>
        <w:t>{</w:t>
      </w:r>
      <w:r w:rsidRPr="009B3BAD">
        <w:rPr>
          <w:rFonts w:ascii="QCF_P262" w:hAnsi="QCF_P262" w:cs="QCF_P262"/>
          <w:color w:val="008000"/>
          <w:sz w:val="20"/>
          <w:szCs w:val="20"/>
          <w:rtl/>
        </w:rPr>
        <w:t>ﮗ ﮘ ﮙ ﮚ ﮛ ﮜ ﮝ</w:t>
      </w:r>
      <w:r w:rsidRPr="009B3BAD">
        <w:rPr>
          <w:rFonts w:ascii="QCF_P262" w:hAnsi="QCF_P262" w:cs="DecoType Thuluth"/>
          <w:color w:val="008000"/>
          <w:sz w:val="20"/>
          <w:szCs w:val="20"/>
          <w:rtl/>
        </w:rPr>
        <w:t>}</w:t>
      </w:r>
      <w:r w:rsidRPr="009B3BAD">
        <w:rPr>
          <w:rFonts w:ascii="Tahoma" w:hAnsi="Tahoma" w:cs="AL-Hotham" w:hint="cs"/>
          <w:color w:val="008000"/>
          <w:sz w:val="20"/>
          <w:szCs w:val="20"/>
          <w:rtl/>
        </w:rPr>
        <w:t xml:space="preserve"> </w:t>
      </w:r>
      <w:r w:rsidRPr="009B3BAD">
        <w:rPr>
          <w:rFonts w:asciiTheme="majorBidi" w:hAnsiTheme="majorBidi" w:cstheme="majorBidi"/>
          <w:b/>
          <w:bCs/>
          <w:sz w:val="20"/>
          <w:szCs w:val="20"/>
          <w:rtl/>
        </w:rPr>
        <w:t>[الحجر: 9] لما لم ينل هؤلاء مآربهم من النص القرآني مباشرةً؛ تصوروا أنهم سيجدون في التقول على نبي الإسلام والكذب عليه مآربهم، ومن هنا راحوا يدسون سمومهم، ويروجون أباطيلهم، يحللون بها الحرام، ويحرمون بها الحلال، ويدعون إلى مذاهب الكفر والإلحاد.</w:t>
      </w:r>
    </w:p>
    <w:p w:rsidR="009B3BAD" w:rsidRPr="009B3BAD" w:rsidRDefault="009B3BAD" w:rsidP="009B3BAD">
      <w:pPr>
        <w:spacing w:after="120"/>
        <w:jc w:val="center"/>
        <w:rPr>
          <w:rFonts w:asciiTheme="majorBidi" w:hAnsiTheme="majorBidi" w:cstheme="majorBidi"/>
          <w:b/>
          <w:bCs/>
          <w:sz w:val="20"/>
          <w:szCs w:val="20"/>
          <w:rtl/>
        </w:rPr>
      </w:pPr>
      <w:r w:rsidRPr="009B3BAD">
        <w:rPr>
          <w:rFonts w:asciiTheme="majorBidi" w:hAnsiTheme="majorBidi" w:cstheme="majorBidi"/>
          <w:b/>
          <w:bCs/>
          <w:sz w:val="20"/>
          <w:szCs w:val="20"/>
          <w:rtl/>
        </w:rPr>
        <w:t>المصادر والمراجع</w:t>
      </w:r>
    </w:p>
    <w:p w:rsidR="009B3BAD" w:rsidRPr="009B3BAD" w:rsidRDefault="009B3BAD" w:rsidP="009B3BAD">
      <w:pPr>
        <w:numPr>
          <w:ilvl w:val="0"/>
          <w:numId w:val="2"/>
        </w:numPr>
        <w:spacing w:after="120"/>
        <w:jc w:val="both"/>
        <w:rPr>
          <w:rFonts w:asciiTheme="majorBidi" w:hAnsiTheme="majorBidi" w:cstheme="majorBidi"/>
          <w:b/>
          <w:bCs/>
          <w:sz w:val="20"/>
          <w:szCs w:val="20"/>
          <w:rtl/>
        </w:rPr>
      </w:pPr>
      <w:r w:rsidRPr="009B3BAD">
        <w:rPr>
          <w:rFonts w:asciiTheme="majorBidi" w:hAnsiTheme="majorBidi" w:cstheme="majorBidi"/>
          <w:b/>
          <w:bCs/>
          <w:sz w:val="20"/>
          <w:szCs w:val="20"/>
          <w:rtl/>
        </w:rPr>
        <w:t>المحمدي عبد الرحمن، (الدخيل في التفسير) ، القاهرة،  جامعة الأزهر، مطبعة حسان، 2009م.</w:t>
      </w:r>
    </w:p>
    <w:p w:rsidR="009B3BAD" w:rsidRPr="009B3BAD" w:rsidRDefault="009B3BAD" w:rsidP="009B3BAD">
      <w:pPr>
        <w:numPr>
          <w:ilvl w:val="0"/>
          <w:numId w:val="2"/>
        </w:numPr>
        <w:spacing w:after="120"/>
        <w:jc w:val="both"/>
        <w:rPr>
          <w:rFonts w:asciiTheme="majorBidi" w:hAnsiTheme="majorBidi" w:cstheme="majorBidi"/>
          <w:b/>
          <w:bCs/>
          <w:sz w:val="20"/>
          <w:szCs w:val="20"/>
          <w:rtl/>
        </w:rPr>
      </w:pPr>
      <w:r w:rsidRPr="009B3BAD">
        <w:rPr>
          <w:rFonts w:asciiTheme="majorBidi" w:hAnsiTheme="majorBidi" w:cstheme="majorBidi"/>
          <w:b/>
          <w:bCs/>
          <w:sz w:val="20"/>
          <w:szCs w:val="20"/>
          <w:rtl/>
        </w:rPr>
        <w:lastRenderedPageBreak/>
        <w:t>الذهبي، محمد حسين الذهبي،  (التفسير والمفسرون) ، طبعة دار الأرقم، 1999م.</w:t>
      </w:r>
    </w:p>
    <w:p w:rsidR="009B3BAD" w:rsidRPr="009B3BAD" w:rsidRDefault="009B3BAD" w:rsidP="009B3BAD">
      <w:pPr>
        <w:numPr>
          <w:ilvl w:val="0"/>
          <w:numId w:val="2"/>
        </w:numPr>
        <w:spacing w:after="120"/>
        <w:jc w:val="both"/>
        <w:rPr>
          <w:rFonts w:asciiTheme="majorBidi" w:hAnsiTheme="majorBidi" w:cstheme="majorBidi"/>
          <w:b/>
          <w:bCs/>
          <w:sz w:val="20"/>
          <w:szCs w:val="20"/>
        </w:rPr>
      </w:pPr>
      <w:r w:rsidRPr="009B3BAD">
        <w:rPr>
          <w:rFonts w:asciiTheme="majorBidi" w:hAnsiTheme="majorBidi" w:cstheme="majorBidi"/>
          <w:b/>
          <w:bCs/>
          <w:sz w:val="20"/>
          <w:szCs w:val="20"/>
          <w:rtl/>
        </w:rPr>
        <w:t>الذهبي، محمد حسين الذهبي،  (الإسرائيليات في التفسير والحديث) ، طبعة مكتبة وهبة، 1990م.</w:t>
      </w:r>
    </w:p>
    <w:p w:rsidR="009B3BAD" w:rsidRPr="009B3BAD" w:rsidRDefault="009B3BAD" w:rsidP="009B3BAD">
      <w:pPr>
        <w:numPr>
          <w:ilvl w:val="0"/>
          <w:numId w:val="2"/>
        </w:numPr>
        <w:spacing w:after="120"/>
        <w:jc w:val="both"/>
        <w:rPr>
          <w:rFonts w:asciiTheme="majorBidi" w:hAnsiTheme="majorBidi" w:cstheme="majorBidi"/>
          <w:b/>
          <w:bCs/>
          <w:sz w:val="20"/>
          <w:szCs w:val="20"/>
        </w:rPr>
      </w:pPr>
      <w:r w:rsidRPr="009B3BAD">
        <w:rPr>
          <w:rFonts w:asciiTheme="majorBidi" w:hAnsiTheme="majorBidi" w:cstheme="majorBidi"/>
          <w:b/>
          <w:bCs/>
          <w:sz w:val="20"/>
          <w:szCs w:val="20"/>
          <w:rtl/>
        </w:rPr>
        <w:t xml:space="preserve">شليوه، سمير شليوه،  (الدخيل والإسرائيليات) ، القاهرة، جامعة الأزهر </w:t>
      </w:r>
    </w:p>
    <w:p w:rsidR="009B3BAD" w:rsidRPr="009B3BAD" w:rsidRDefault="009B3BAD" w:rsidP="009B3BAD">
      <w:pPr>
        <w:numPr>
          <w:ilvl w:val="0"/>
          <w:numId w:val="2"/>
        </w:numPr>
        <w:spacing w:after="120"/>
        <w:jc w:val="both"/>
        <w:rPr>
          <w:rFonts w:asciiTheme="majorBidi" w:hAnsiTheme="majorBidi" w:cstheme="majorBidi"/>
          <w:b/>
          <w:bCs/>
          <w:sz w:val="20"/>
          <w:szCs w:val="20"/>
        </w:rPr>
      </w:pPr>
      <w:r w:rsidRPr="009B3BAD">
        <w:rPr>
          <w:rFonts w:asciiTheme="majorBidi" w:hAnsiTheme="majorBidi" w:cstheme="majorBidi"/>
          <w:b/>
          <w:bCs/>
          <w:sz w:val="20"/>
          <w:szCs w:val="20"/>
          <w:rtl/>
        </w:rPr>
        <w:t xml:space="preserve">رضوان، على حسن السيد رضوان،  (الدخيل في التفسير) ، جامعة الأزهر، مجلة الشريعة والدراسات الإسلامية. </w:t>
      </w:r>
    </w:p>
    <w:p w:rsidR="009B3BAD" w:rsidRPr="009B3BAD" w:rsidRDefault="009B3BAD" w:rsidP="009B3BAD">
      <w:pPr>
        <w:numPr>
          <w:ilvl w:val="0"/>
          <w:numId w:val="2"/>
        </w:numPr>
        <w:spacing w:after="120"/>
        <w:jc w:val="both"/>
        <w:rPr>
          <w:rFonts w:asciiTheme="majorBidi" w:hAnsiTheme="majorBidi" w:cstheme="majorBidi"/>
          <w:b/>
          <w:bCs/>
          <w:sz w:val="20"/>
          <w:szCs w:val="20"/>
        </w:rPr>
      </w:pPr>
      <w:r w:rsidRPr="009B3BAD">
        <w:rPr>
          <w:rFonts w:asciiTheme="majorBidi" w:hAnsiTheme="majorBidi" w:cstheme="majorBidi"/>
          <w:b/>
          <w:bCs/>
          <w:sz w:val="20"/>
          <w:szCs w:val="20"/>
          <w:rtl/>
        </w:rPr>
        <w:t>السيوطي، جلال الدين السيوطي،  (تدريب الراوي في شرح تقريب النواوي) ، دار الكتاب العربي للطباعة والنشر 20003م.</w:t>
      </w:r>
    </w:p>
    <w:p w:rsidR="009B3BAD" w:rsidRPr="009B3BAD" w:rsidRDefault="009B3BAD" w:rsidP="009B3BAD">
      <w:pPr>
        <w:numPr>
          <w:ilvl w:val="0"/>
          <w:numId w:val="2"/>
        </w:numPr>
        <w:spacing w:after="120"/>
        <w:jc w:val="both"/>
        <w:rPr>
          <w:rFonts w:asciiTheme="majorBidi" w:hAnsiTheme="majorBidi" w:cstheme="majorBidi"/>
          <w:b/>
          <w:bCs/>
          <w:sz w:val="20"/>
          <w:szCs w:val="20"/>
        </w:rPr>
      </w:pPr>
      <w:r w:rsidRPr="009B3BAD">
        <w:rPr>
          <w:rFonts w:asciiTheme="majorBidi" w:hAnsiTheme="majorBidi" w:cstheme="majorBidi"/>
          <w:b/>
          <w:bCs/>
          <w:sz w:val="20"/>
          <w:szCs w:val="20"/>
          <w:rtl/>
        </w:rPr>
        <w:t>الشهرستاني، محمد بن عبد الكريم الشهرستاني،  (الملل والنحل) ، طبعة دار الفكر، 2001م.</w:t>
      </w:r>
    </w:p>
    <w:p w:rsidR="009B3BAD" w:rsidRPr="009B3BAD" w:rsidRDefault="009B3BAD" w:rsidP="009B3BAD">
      <w:pPr>
        <w:numPr>
          <w:ilvl w:val="0"/>
          <w:numId w:val="2"/>
        </w:numPr>
        <w:spacing w:after="120"/>
        <w:jc w:val="both"/>
        <w:rPr>
          <w:rFonts w:asciiTheme="majorBidi" w:hAnsiTheme="majorBidi" w:cstheme="majorBidi"/>
          <w:b/>
          <w:bCs/>
          <w:sz w:val="20"/>
          <w:szCs w:val="20"/>
        </w:rPr>
      </w:pPr>
      <w:r w:rsidRPr="009B3BAD">
        <w:rPr>
          <w:rFonts w:asciiTheme="majorBidi" w:hAnsiTheme="majorBidi" w:cstheme="majorBidi"/>
          <w:b/>
          <w:bCs/>
          <w:sz w:val="20"/>
          <w:szCs w:val="20"/>
          <w:rtl/>
        </w:rPr>
        <w:t>محمد الخضر حسين، (البابية أو البهائية) ،مجمع البحوث الإسلامية</w:t>
      </w:r>
    </w:p>
    <w:p w:rsidR="009B3BAD" w:rsidRPr="009B3BAD" w:rsidRDefault="009B3BAD" w:rsidP="009B3BAD">
      <w:pPr>
        <w:numPr>
          <w:ilvl w:val="0"/>
          <w:numId w:val="2"/>
        </w:numPr>
        <w:spacing w:after="120"/>
        <w:jc w:val="both"/>
        <w:rPr>
          <w:rFonts w:asciiTheme="majorBidi" w:hAnsiTheme="majorBidi" w:cstheme="majorBidi"/>
          <w:b/>
          <w:bCs/>
          <w:sz w:val="20"/>
          <w:szCs w:val="20"/>
        </w:rPr>
      </w:pPr>
      <w:r w:rsidRPr="009B3BAD">
        <w:rPr>
          <w:rFonts w:asciiTheme="majorBidi" w:hAnsiTheme="majorBidi" w:cstheme="majorBidi"/>
          <w:b/>
          <w:bCs/>
          <w:sz w:val="20"/>
          <w:szCs w:val="20"/>
          <w:rtl/>
        </w:rPr>
        <w:t>القاسمي، محمد جمال الدين القاسمي، (تفسير القاسمي المسمى محاسن التأويل) ، طبعة دار إحياء الكتب العربية، 1960م.</w:t>
      </w:r>
    </w:p>
    <w:p w:rsidR="009B3BAD" w:rsidRPr="009B3BAD" w:rsidRDefault="009B3BAD" w:rsidP="009B3BAD">
      <w:pPr>
        <w:numPr>
          <w:ilvl w:val="0"/>
          <w:numId w:val="2"/>
        </w:numPr>
        <w:spacing w:after="120"/>
        <w:jc w:val="both"/>
        <w:rPr>
          <w:rFonts w:asciiTheme="majorBidi" w:hAnsiTheme="majorBidi" w:cstheme="majorBidi"/>
          <w:b/>
          <w:bCs/>
          <w:sz w:val="20"/>
          <w:szCs w:val="20"/>
        </w:rPr>
      </w:pPr>
      <w:r w:rsidRPr="009B3BAD">
        <w:rPr>
          <w:rFonts w:asciiTheme="majorBidi" w:hAnsiTheme="majorBidi" w:cstheme="majorBidi"/>
          <w:b/>
          <w:bCs/>
          <w:sz w:val="20"/>
          <w:szCs w:val="20"/>
          <w:rtl/>
        </w:rPr>
        <w:t>الشعراوي، فضيلة الشيخ محمد متولي الشعراوي،  (معجزة القرآن) ، القاهرة، طبعة مكتبة أخبار اليوم، 1993م.</w:t>
      </w:r>
    </w:p>
    <w:p w:rsidR="009B3BAD" w:rsidRPr="009B3BAD" w:rsidRDefault="009B3BAD" w:rsidP="009B3BAD">
      <w:pPr>
        <w:numPr>
          <w:ilvl w:val="0"/>
          <w:numId w:val="2"/>
        </w:numPr>
        <w:spacing w:after="120"/>
        <w:jc w:val="both"/>
        <w:rPr>
          <w:rFonts w:asciiTheme="majorBidi" w:hAnsiTheme="majorBidi" w:cstheme="majorBidi"/>
          <w:b/>
          <w:bCs/>
          <w:sz w:val="20"/>
          <w:szCs w:val="20"/>
          <w:rtl/>
        </w:rPr>
      </w:pPr>
      <w:r w:rsidRPr="009B3BAD">
        <w:rPr>
          <w:rFonts w:asciiTheme="majorBidi" w:hAnsiTheme="majorBidi" w:cstheme="majorBidi"/>
          <w:b/>
          <w:bCs/>
          <w:sz w:val="20"/>
          <w:szCs w:val="20"/>
          <w:rtl/>
        </w:rPr>
        <w:t>الشاطبي، إبراهيم بن موسى أبو إسحاق الشاطبي،  (الموافقات في أصول الشريعة) ، دار الكتب العلمية، 1993م.</w:t>
      </w:r>
    </w:p>
    <w:p w:rsidR="009B3BAD" w:rsidRPr="009B3BAD" w:rsidRDefault="009B3BAD" w:rsidP="009B3BAD">
      <w:pPr>
        <w:numPr>
          <w:ilvl w:val="0"/>
          <w:numId w:val="2"/>
        </w:numPr>
        <w:spacing w:after="120"/>
        <w:jc w:val="both"/>
        <w:rPr>
          <w:rFonts w:asciiTheme="majorBidi" w:hAnsiTheme="majorBidi" w:cstheme="majorBidi"/>
          <w:b/>
          <w:bCs/>
          <w:sz w:val="20"/>
          <w:szCs w:val="20"/>
        </w:rPr>
      </w:pPr>
      <w:r w:rsidRPr="009B3BAD">
        <w:rPr>
          <w:rFonts w:asciiTheme="majorBidi" w:hAnsiTheme="majorBidi" w:cstheme="majorBidi"/>
          <w:b/>
          <w:bCs/>
          <w:sz w:val="20"/>
          <w:szCs w:val="20"/>
          <w:rtl/>
        </w:rPr>
        <w:t>الأصفهاني، الراغب الأصفهاني، تحقيق:محمد سيد كيلاني (المفردات في غريب القرآن) ، القاهرة، مطبعة مصطفى البابي، 1961م.</w:t>
      </w:r>
    </w:p>
    <w:p w:rsidR="009B3BAD" w:rsidRPr="009B3BAD" w:rsidRDefault="009B3BAD" w:rsidP="009B3BAD">
      <w:pPr>
        <w:rPr>
          <w:sz w:val="20"/>
          <w:szCs w:val="20"/>
          <w:rtl/>
        </w:rPr>
        <w:sectPr w:rsidR="009B3BAD" w:rsidRPr="009B3BAD" w:rsidSect="009B3BAD">
          <w:type w:val="continuous"/>
          <w:pgSz w:w="11906" w:h="16838"/>
          <w:pgMar w:top="964" w:right="1021" w:bottom="964" w:left="1021" w:header="709" w:footer="709" w:gutter="0"/>
          <w:cols w:num="2" w:space="708"/>
          <w:bidi/>
          <w:rtlGutter/>
          <w:docGrid w:linePitch="360"/>
        </w:sectPr>
      </w:pPr>
    </w:p>
    <w:p w:rsidR="009B3BAD" w:rsidRPr="009B3BAD" w:rsidRDefault="009B3BAD" w:rsidP="009B3BAD">
      <w:pPr>
        <w:rPr>
          <w:sz w:val="20"/>
          <w:szCs w:val="20"/>
        </w:rPr>
      </w:pPr>
    </w:p>
    <w:sectPr w:rsidR="009B3BAD" w:rsidRPr="009B3BAD" w:rsidSect="009B3BAD">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262">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1744"/>
    <w:multiLevelType w:val="hybridMultilevel"/>
    <w:tmpl w:val="7F206CB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4DDEB08E"/>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9B3BAD"/>
    <w:rsid w:val="00514443"/>
    <w:rsid w:val="00610584"/>
    <w:rsid w:val="007E3932"/>
    <w:rsid w:val="009556CB"/>
    <w:rsid w:val="009B3BAD"/>
    <w:rsid w:val="00BF7572"/>
    <w:rsid w:val="00C3602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BA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9B3BAD"/>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9B3BA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B3BAD"/>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1060</Words>
  <Characters>6042</Characters>
  <Application>Microsoft Office Word</Application>
  <DocSecurity>0</DocSecurity>
  <Lines>50</Lines>
  <Paragraphs>14</Paragraphs>
  <ScaleCrop>false</ScaleCrop>
  <Company/>
  <LinksUpToDate>false</LinksUpToDate>
  <CharactersWithSpaces>7088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2</cp:revision>
  <dcterms:created xsi:type="dcterms:W3CDTF">2013-06-20T07:22:00Z</dcterms:created>
  <dcterms:modified xsi:type="dcterms:W3CDTF">2013-06-26T08:30:00Z</dcterms:modified>
</cp:coreProperties>
</file>