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BC4AE4" w:rsidP="00BC4AE4">
      <w:pPr>
        <w:spacing w:line="240" w:lineRule="auto"/>
        <w:jc w:val="center"/>
        <w:rPr>
          <w:i/>
          <w:iCs/>
          <w:rtl/>
        </w:rPr>
      </w:pPr>
      <w:r w:rsidRPr="00BC4AE4">
        <w:rPr>
          <w:rFonts w:asciiTheme="majorBidi" w:eastAsia="Calibri" w:hAnsiTheme="majorBidi" w:cstheme="majorBidi"/>
          <w:i/>
          <w:iCs/>
          <w:sz w:val="48"/>
          <w:szCs w:val="48"/>
          <w:rtl/>
        </w:rPr>
        <w:t>حكم رواية الحديث الموضوع</w:t>
      </w:r>
    </w:p>
    <w:p w:rsidR="00BC4AE4" w:rsidRPr="009264EA" w:rsidRDefault="00BC4AE4" w:rsidP="00BC4AE4">
      <w:pPr>
        <w:pStyle w:val="papersubtitle"/>
        <w:bidi/>
        <w:rPr>
          <w:i/>
          <w:iCs/>
          <w:rtl/>
        </w:rPr>
      </w:pPr>
      <w:r w:rsidRPr="009264EA">
        <w:rPr>
          <w:i/>
          <w:iCs/>
          <w:rtl/>
        </w:rPr>
        <w:t xml:space="preserve">بحث  فى </w:t>
      </w:r>
      <w:r>
        <w:rPr>
          <w:rFonts w:hint="cs"/>
          <w:i/>
          <w:iCs/>
          <w:rtl/>
        </w:rPr>
        <w:t>الدخيل فى التفسير</w:t>
      </w:r>
    </w:p>
    <w:p w:rsidR="00BC4AE4" w:rsidRPr="009264EA" w:rsidRDefault="00BC4AE4" w:rsidP="001E3B8C">
      <w:pPr>
        <w:pStyle w:val="papersubtitle"/>
        <w:bidi/>
        <w:rPr>
          <w:i/>
          <w:iCs/>
          <w:sz w:val="24"/>
          <w:szCs w:val="24"/>
        </w:rPr>
      </w:pPr>
      <w:r w:rsidRPr="009264EA">
        <w:rPr>
          <w:i/>
          <w:iCs/>
          <w:sz w:val="24"/>
          <w:szCs w:val="24"/>
          <w:rtl/>
        </w:rPr>
        <w:t xml:space="preserve">إعداد أ/ </w:t>
      </w:r>
      <w:r w:rsidR="001E3B8C" w:rsidRPr="001E3B8C">
        <w:rPr>
          <w:i/>
          <w:iCs/>
          <w:sz w:val="24"/>
          <w:szCs w:val="24"/>
          <w:rtl/>
        </w:rPr>
        <w:t>أيمن محمد أبو</w:t>
      </w:r>
      <w:r w:rsidR="001E3B8C" w:rsidRPr="001E3B8C">
        <w:rPr>
          <w:rFonts w:hint="cs"/>
          <w:i/>
          <w:iCs/>
          <w:sz w:val="24"/>
          <w:szCs w:val="24"/>
          <w:rtl/>
        </w:rPr>
        <w:t xml:space="preserve"> </w:t>
      </w:r>
      <w:r w:rsidR="001E3B8C" w:rsidRPr="001E3B8C">
        <w:rPr>
          <w:i/>
          <w:iCs/>
          <w:sz w:val="24"/>
          <w:szCs w:val="24"/>
          <w:rtl/>
        </w:rPr>
        <w:t>بكر</w:t>
      </w:r>
    </w:p>
    <w:p w:rsidR="00BC4AE4" w:rsidRPr="009264EA" w:rsidRDefault="00BC4AE4" w:rsidP="00BC4AE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C4AE4" w:rsidRPr="009264EA" w:rsidRDefault="00BC4AE4" w:rsidP="00BC4AE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C4AE4" w:rsidRPr="009264EA" w:rsidRDefault="00BC4AE4" w:rsidP="00BC4AE4">
      <w:pPr>
        <w:pStyle w:val="papersubtitle"/>
        <w:bidi/>
        <w:rPr>
          <w:i/>
          <w:iCs/>
          <w:sz w:val="22"/>
          <w:szCs w:val="22"/>
          <w:rtl/>
        </w:rPr>
      </w:pPr>
      <w:r w:rsidRPr="009264EA">
        <w:rPr>
          <w:i/>
          <w:iCs/>
          <w:sz w:val="22"/>
          <w:szCs w:val="22"/>
          <w:rtl/>
        </w:rPr>
        <w:t>شاه علم – ماليزيا</w:t>
      </w:r>
    </w:p>
    <w:p w:rsidR="00BC4AE4" w:rsidRDefault="001E3B8C" w:rsidP="00BC4AE4">
      <w:pPr>
        <w:spacing w:line="240" w:lineRule="auto"/>
        <w:jc w:val="center"/>
        <w:rPr>
          <w:rFonts w:ascii="Calibri" w:hAnsi="Calibri" w:cs="AL-Mateen"/>
          <w:sz w:val="32"/>
          <w:szCs w:val="32"/>
          <w:lang w:bidi="ar-EG"/>
        </w:rPr>
      </w:pPr>
      <w:r w:rsidRPr="001E3B8C">
        <w:rPr>
          <w:rFonts w:asciiTheme="majorBidi" w:hAnsiTheme="majorBidi" w:cs="AL-Hotham"/>
          <w:i/>
          <w:iCs/>
          <w:lang w:bidi="ar-EG"/>
        </w:rPr>
        <w:t>ayman.abobakr@mediu.ws</w:t>
      </w:r>
    </w:p>
    <w:p w:rsidR="00BC4AE4" w:rsidRDefault="00BC4AE4" w:rsidP="00BC4AE4">
      <w:pPr>
        <w:spacing w:after="120" w:line="240" w:lineRule="auto"/>
        <w:rPr>
          <w:rFonts w:asciiTheme="majorBidi" w:hAnsiTheme="majorBidi" w:cstheme="majorBidi"/>
          <w:b/>
          <w:bCs/>
          <w:sz w:val="20"/>
          <w:szCs w:val="20"/>
          <w:rtl/>
        </w:rPr>
        <w:sectPr w:rsidR="00BC4AE4" w:rsidSect="00BF7572">
          <w:pgSz w:w="11906" w:h="16838"/>
          <w:pgMar w:top="964" w:right="1021" w:bottom="964" w:left="1021" w:header="709" w:footer="709" w:gutter="0"/>
          <w:cols w:space="708"/>
          <w:bidi/>
          <w:rtlGutter/>
          <w:docGrid w:linePitch="360"/>
        </w:sectPr>
      </w:pPr>
    </w:p>
    <w:p w:rsidR="00BC4AE4" w:rsidRPr="00BC4AE4" w:rsidRDefault="00BC4AE4" w:rsidP="00BC4AE4">
      <w:pPr>
        <w:spacing w:after="120" w:line="240" w:lineRule="auto"/>
        <w:rPr>
          <w:rFonts w:asciiTheme="majorBidi" w:hAnsiTheme="majorBidi" w:cstheme="majorBidi"/>
          <w:b/>
          <w:bCs/>
          <w:sz w:val="20"/>
          <w:szCs w:val="20"/>
          <w:rtl/>
        </w:rPr>
      </w:pPr>
      <w:r w:rsidRPr="00BC4AE4">
        <w:rPr>
          <w:rFonts w:asciiTheme="majorBidi" w:hAnsiTheme="majorBidi" w:cstheme="majorBidi"/>
          <w:b/>
          <w:bCs/>
          <w:sz w:val="20"/>
          <w:szCs w:val="20"/>
          <w:rtl/>
        </w:rPr>
        <w:lastRenderedPageBreak/>
        <w:t xml:space="preserve">خلاصة ـــ هذا البحث يبحث في </w:t>
      </w:r>
      <w:r w:rsidRPr="00BC4AE4">
        <w:rPr>
          <w:rFonts w:asciiTheme="majorBidi" w:eastAsia="Calibri" w:hAnsiTheme="majorBidi" w:cstheme="majorBidi"/>
          <w:b/>
          <w:bCs/>
          <w:sz w:val="20"/>
          <w:szCs w:val="20"/>
          <w:rtl/>
        </w:rPr>
        <w:t>حكم رواية الحديث الموضوع</w:t>
      </w:r>
    </w:p>
    <w:p w:rsidR="00BC4AE4" w:rsidRPr="00BC4AE4" w:rsidRDefault="00BC4AE4" w:rsidP="00BC4AE4">
      <w:pPr>
        <w:spacing w:after="120" w:line="240" w:lineRule="auto"/>
        <w:rPr>
          <w:rFonts w:asciiTheme="majorBidi" w:hAnsiTheme="majorBidi" w:cstheme="majorBidi"/>
          <w:b/>
          <w:bCs/>
          <w:sz w:val="20"/>
          <w:szCs w:val="20"/>
          <w:rtl/>
          <w:lang w:bidi="ar-EG"/>
        </w:rPr>
      </w:pPr>
      <w:r w:rsidRPr="00BC4AE4">
        <w:rPr>
          <w:rFonts w:asciiTheme="majorBidi" w:hAnsiTheme="majorBidi" w:cstheme="majorBidi"/>
          <w:b/>
          <w:bCs/>
          <w:sz w:val="20"/>
          <w:szCs w:val="20"/>
          <w:rtl/>
        </w:rPr>
        <w:t xml:space="preserve">الكلمات المفتاحية : الحديث ، الموضوع ،النص </w:t>
      </w:r>
    </w:p>
    <w:p w:rsidR="00BC4AE4" w:rsidRPr="00BC4AE4" w:rsidRDefault="00BC4AE4" w:rsidP="00BC4AE4">
      <w:pPr>
        <w:pStyle w:val="a4"/>
        <w:numPr>
          <w:ilvl w:val="0"/>
          <w:numId w:val="1"/>
        </w:numPr>
        <w:spacing w:after="120"/>
        <w:jc w:val="center"/>
        <w:rPr>
          <w:rFonts w:asciiTheme="majorBidi" w:hAnsiTheme="majorBidi" w:cstheme="majorBidi"/>
          <w:b/>
          <w:bCs/>
          <w:sz w:val="20"/>
          <w:szCs w:val="20"/>
          <w:rtl/>
        </w:rPr>
      </w:pPr>
      <w:r w:rsidRPr="00BC4AE4">
        <w:rPr>
          <w:rFonts w:asciiTheme="majorBidi" w:hAnsiTheme="majorBidi" w:cstheme="majorBidi"/>
          <w:b/>
          <w:bCs/>
          <w:sz w:val="20"/>
          <w:szCs w:val="20"/>
          <w:rtl/>
        </w:rPr>
        <w:t>المقدمة</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BC4AE4">
        <w:rPr>
          <w:rFonts w:asciiTheme="majorBidi" w:eastAsia="Calibri" w:hAnsiTheme="majorBidi" w:cstheme="majorBidi"/>
          <w:b/>
          <w:bCs/>
          <w:sz w:val="20"/>
          <w:szCs w:val="20"/>
          <w:rtl/>
        </w:rPr>
        <w:t>حكم رواية الحديث الموضوع</w:t>
      </w:r>
    </w:p>
    <w:p w:rsidR="00BC4AE4" w:rsidRPr="00BC4AE4" w:rsidRDefault="00BC4AE4" w:rsidP="00BC4AE4">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BC4AE4">
        <w:rPr>
          <w:rFonts w:asciiTheme="majorBidi" w:hAnsiTheme="majorBidi" w:cstheme="majorBidi"/>
          <w:b/>
          <w:bCs/>
          <w:sz w:val="20"/>
          <w:szCs w:val="20"/>
          <w:rtl/>
        </w:rPr>
        <w:t>عنوان المقال</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sz w:val="20"/>
          <w:szCs w:val="20"/>
          <w:rtl/>
        </w:rPr>
        <w:t>إذا كانت هذه الأحاديث الموضوعة بهذه الكثرة، على اختلاف أسبابها، وعلى اختلاف علامات الوضع، فهل يجوز روايةُ الحديث الموضوع؟:</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color w:val="000080"/>
          <w:sz w:val="20"/>
          <w:szCs w:val="20"/>
          <w:rtl/>
          <w:lang w:bidi="ar-EG"/>
        </w:rPr>
        <w:t>الحقيقة:</w:t>
      </w:r>
      <w:r w:rsidRPr="00BC4AE4">
        <w:rPr>
          <w:rFonts w:asciiTheme="majorBidi" w:hAnsiTheme="majorBidi" w:cstheme="majorBidi"/>
          <w:b/>
          <w:bCs/>
          <w:sz w:val="20"/>
          <w:szCs w:val="20"/>
          <w:rtl/>
        </w:rPr>
        <w:t xml:space="preserve"> لا تجوز رواية الحديث الموضوع، إلا إذا جاء مقترنًا ببيان وضعه، والنص على كذبه، حتى لا يعتقد الناس في صحته، ويعملون بمقتضاه، ويأخذ ابن الجوزي -رحمه الله- على بعض العلماء، روايةَ الموضوع من غير تبيينٍ لدرجتِه، أو كشف وضعه، ويعتبرُهُ من تلبيس إبليس عليهم، يقول ابن الجوزي: ومن تلبيس إبليس على علماء المحدثين رواية الحديث الموضوع من غير أن يبينوا </w:t>
      </w:r>
      <w:r w:rsidRPr="00BC4AE4">
        <w:rPr>
          <w:rFonts w:asciiTheme="majorBidi" w:hAnsiTheme="majorBidi" w:cstheme="majorBidi"/>
          <w:b/>
          <w:bCs/>
          <w:sz w:val="20"/>
          <w:szCs w:val="20"/>
          <w:rtl/>
          <w:lang w:bidi="ar-EG"/>
        </w:rPr>
        <w:t>أ</w:t>
      </w:r>
      <w:r w:rsidRPr="00BC4AE4">
        <w:rPr>
          <w:rFonts w:asciiTheme="majorBidi" w:hAnsiTheme="majorBidi" w:cstheme="majorBidi"/>
          <w:b/>
          <w:bCs/>
          <w:sz w:val="20"/>
          <w:szCs w:val="20"/>
          <w:rtl/>
        </w:rPr>
        <w:t>نه موضوع، وهذه جناية منهم على الشرع، ومقصودهم ترويج أحاديثهم وكثرة رواياتهم.</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sz w:val="20"/>
          <w:szCs w:val="20"/>
          <w:rtl/>
        </w:rPr>
        <w:t xml:space="preserve">وقد قال </w:t>
      </w:r>
      <w:r w:rsidRPr="00BC4AE4">
        <w:rPr>
          <w:rFonts w:asciiTheme="majorBidi" w:hAnsiTheme="majorBidi" w:cstheme="majorBidi"/>
          <w:b/>
          <w:bCs/>
          <w:position w:val="-4"/>
          <w:sz w:val="20"/>
          <w:szCs w:val="20"/>
        </w:rPr>
        <w:t></w:t>
      </w:r>
      <w:r w:rsidRPr="00BC4AE4">
        <w:rPr>
          <w:rFonts w:asciiTheme="majorBidi" w:hAnsiTheme="majorBidi" w:cstheme="majorBidi"/>
          <w:b/>
          <w:bCs/>
          <w:sz w:val="20"/>
          <w:szCs w:val="20"/>
          <w:rtl/>
        </w:rPr>
        <w:t xml:space="preserve">: </w:t>
      </w:r>
      <w:r w:rsidRPr="00BC4AE4">
        <w:rPr>
          <w:rFonts w:asciiTheme="majorBidi" w:hAnsiTheme="majorBidi" w:cstheme="majorBidi"/>
          <w:b/>
          <w:bCs/>
          <w:color w:val="0000FF"/>
          <w:sz w:val="20"/>
          <w:szCs w:val="20"/>
          <w:rtl/>
        </w:rPr>
        <w:t>((من روى عني حديثًا، يُرَى أنه كذب -أو يرى- أنه كذب، فهو أحد الكاذِبَين، أو الكاذِبِين))</w:t>
      </w:r>
      <w:r w:rsidRPr="00BC4AE4">
        <w:rPr>
          <w:rFonts w:asciiTheme="majorBidi" w:hAnsiTheme="majorBidi" w:cstheme="majorBidi"/>
          <w:b/>
          <w:bCs/>
          <w:sz w:val="20"/>
          <w:szCs w:val="20"/>
          <w:rtl/>
        </w:rPr>
        <w:t xml:space="preserve"> يقرئ الحديث بالتشكيلتين</w:t>
      </w:r>
      <w:r w:rsidRPr="00BC4AE4">
        <w:rPr>
          <w:rFonts w:asciiTheme="majorBidi" w:hAnsiTheme="majorBidi" w:cstheme="majorBidi"/>
          <w:b/>
          <w:bCs/>
          <w:sz w:val="20"/>
          <w:szCs w:val="20"/>
          <w:rtl/>
          <w:lang w:bidi="ar-EG"/>
        </w:rPr>
        <w:t>.</w:t>
      </w:r>
      <w:r w:rsidRPr="00BC4AE4">
        <w:rPr>
          <w:rFonts w:asciiTheme="majorBidi" w:hAnsiTheme="majorBidi" w:cstheme="majorBidi"/>
          <w:b/>
          <w:bCs/>
          <w:sz w:val="20"/>
          <w:szCs w:val="20"/>
          <w:rtl/>
        </w:rPr>
        <w:t xml:space="preserve"> </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color w:val="0000FF"/>
          <w:sz w:val="20"/>
          <w:szCs w:val="20"/>
          <w:rtl/>
        </w:rPr>
        <w:t>((ي</w:t>
      </w:r>
      <w:r w:rsidRPr="00BC4AE4">
        <w:rPr>
          <w:rFonts w:asciiTheme="majorBidi" w:hAnsiTheme="majorBidi" w:cstheme="majorBidi"/>
          <w:b/>
          <w:bCs/>
          <w:color w:val="0000FF"/>
          <w:sz w:val="20"/>
          <w:szCs w:val="20"/>
          <w:rtl/>
          <w:lang w:bidi="ar-EG"/>
        </w:rPr>
        <w:t>ُ</w:t>
      </w:r>
      <w:r w:rsidRPr="00BC4AE4">
        <w:rPr>
          <w:rFonts w:asciiTheme="majorBidi" w:hAnsiTheme="majorBidi" w:cstheme="majorBidi"/>
          <w:b/>
          <w:bCs/>
          <w:color w:val="0000FF"/>
          <w:sz w:val="20"/>
          <w:szCs w:val="20"/>
          <w:rtl/>
        </w:rPr>
        <w:t>رى))</w:t>
      </w:r>
      <w:r w:rsidRPr="00BC4AE4">
        <w:rPr>
          <w:rFonts w:asciiTheme="majorBidi" w:hAnsiTheme="majorBidi" w:cstheme="majorBidi"/>
          <w:b/>
          <w:bCs/>
          <w:sz w:val="20"/>
          <w:szCs w:val="20"/>
          <w:rtl/>
        </w:rPr>
        <w:t xml:space="preserve"> أي: يظن أنه كذب، حتى مجرد أن تظن أن هذا كذب على رسول الله، فمن ينقله يعتبر مشاركًا في الكذب على رسول الله، </w:t>
      </w:r>
      <w:r w:rsidRPr="00BC4AE4">
        <w:rPr>
          <w:rFonts w:asciiTheme="majorBidi" w:hAnsiTheme="majorBidi" w:cstheme="majorBidi"/>
          <w:b/>
          <w:bCs/>
          <w:color w:val="0000FF"/>
          <w:sz w:val="20"/>
          <w:szCs w:val="20"/>
          <w:rtl/>
        </w:rPr>
        <w:t>((أو يَرَى))</w:t>
      </w:r>
      <w:r w:rsidRPr="00BC4AE4">
        <w:rPr>
          <w:rFonts w:asciiTheme="majorBidi" w:hAnsiTheme="majorBidi" w:cstheme="majorBidi"/>
          <w:b/>
          <w:bCs/>
          <w:sz w:val="20"/>
          <w:szCs w:val="20"/>
          <w:rtl/>
        </w:rPr>
        <w:t xml:space="preserve"> ويعلم أنه كذب تكون المصيبة والإثم أعظم، </w:t>
      </w:r>
      <w:r w:rsidRPr="00BC4AE4">
        <w:rPr>
          <w:rFonts w:asciiTheme="majorBidi" w:hAnsiTheme="majorBidi" w:cstheme="majorBidi"/>
          <w:b/>
          <w:bCs/>
          <w:color w:val="0000FF"/>
          <w:sz w:val="20"/>
          <w:szCs w:val="20"/>
          <w:rtl/>
        </w:rPr>
        <w:t>((فهو أحد الكاذ</w:t>
      </w:r>
      <w:r w:rsidRPr="00BC4AE4">
        <w:rPr>
          <w:rFonts w:asciiTheme="majorBidi" w:hAnsiTheme="majorBidi" w:cstheme="majorBidi"/>
          <w:b/>
          <w:bCs/>
          <w:color w:val="0000FF"/>
          <w:sz w:val="20"/>
          <w:szCs w:val="20"/>
          <w:rtl/>
          <w:lang w:bidi="ar-EG"/>
        </w:rPr>
        <w:t>ِ</w:t>
      </w:r>
      <w:r w:rsidRPr="00BC4AE4">
        <w:rPr>
          <w:rFonts w:asciiTheme="majorBidi" w:hAnsiTheme="majorBidi" w:cstheme="majorBidi"/>
          <w:b/>
          <w:bCs/>
          <w:color w:val="0000FF"/>
          <w:sz w:val="20"/>
          <w:szCs w:val="20"/>
          <w:rtl/>
        </w:rPr>
        <w:t>ب</w:t>
      </w:r>
      <w:r w:rsidRPr="00BC4AE4">
        <w:rPr>
          <w:rFonts w:asciiTheme="majorBidi" w:hAnsiTheme="majorBidi" w:cstheme="majorBidi"/>
          <w:b/>
          <w:bCs/>
          <w:color w:val="0000FF"/>
          <w:sz w:val="20"/>
          <w:szCs w:val="20"/>
          <w:rtl/>
          <w:lang w:bidi="ar-EG"/>
        </w:rPr>
        <w:t>َ</w:t>
      </w:r>
      <w:r w:rsidRPr="00BC4AE4">
        <w:rPr>
          <w:rFonts w:asciiTheme="majorBidi" w:hAnsiTheme="majorBidi" w:cstheme="majorBidi"/>
          <w:b/>
          <w:bCs/>
          <w:color w:val="0000FF"/>
          <w:sz w:val="20"/>
          <w:szCs w:val="20"/>
          <w:rtl/>
        </w:rPr>
        <w:t>ين))</w:t>
      </w:r>
      <w:r w:rsidRPr="00BC4AE4">
        <w:rPr>
          <w:rFonts w:asciiTheme="majorBidi" w:hAnsiTheme="majorBidi" w:cstheme="majorBidi"/>
          <w:b/>
          <w:bCs/>
          <w:sz w:val="20"/>
          <w:szCs w:val="20"/>
          <w:rtl/>
        </w:rPr>
        <w:t xml:space="preserve"> كأن الذي يكذب، الذي ينقل الحديث عن الكذابين وقائله الذي كذب أولًا، أو </w:t>
      </w:r>
      <w:r w:rsidRPr="00BC4AE4">
        <w:rPr>
          <w:rFonts w:asciiTheme="majorBidi" w:hAnsiTheme="majorBidi" w:cstheme="majorBidi"/>
          <w:b/>
          <w:bCs/>
          <w:color w:val="0000FF"/>
          <w:sz w:val="20"/>
          <w:szCs w:val="20"/>
          <w:rtl/>
        </w:rPr>
        <w:t>((هو أحد الكاذ</w:t>
      </w:r>
      <w:r w:rsidRPr="00BC4AE4">
        <w:rPr>
          <w:rFonts w:asciiTheme="majorBidi" w:hAnsiTheme="majorBidi" w:cstheme="majorBidi"/>
          <w:b/>
          <w:bCs/>
          <w:color w:val="0000FF"/>
          <w:sz w:val="20"/>
          <w:szCs w:val="20"/>
          <w:rtl/>
          <w:lang w:bidi="ar-EG"/>
        </w:rPr>
        <w:t>ِ</w:t>
      </w:r>
      <w:r w:rsidRPr="00BC4AE4">
        <w:rPr>
          <w:rFonts w:asciiTheme="majorBidi" w:hAnsiTheme="majorBidi" w:cstheme="majorBidi"/>
          <w:b/>
          <w:bCs/>
          <w:color w:val="0000FF"/>
          <w:sz w:val="20"/>
          <w:szCs w:val="20"/>
          <w:rtl/>
        </w:rPr>
        <w:t>ب</w:t>
      </w:r>
      <w:r w:rsidRPr="00BC4AE4">
        <w:rPr>
          <w:rFonts w:asciiTheme="majorBidi" w:hAnsiTheme="majorBidi" w:cstheme="majorBidi"/>
          <w:b/>
          <w:bCs/>
          <w:color w:val="0000FF"/>
          <w:sz w:val="20"/>
          <w:szCs w:val="20"/>
          <w:rtl/>
          <w:lang w:bidi="ar-EG"/>
        </w:rPr>
        <w:t>ِ</w:t>
      </w:r>
      <w:r w:rsidRPr="00BC4AE4">
        <w:rPr>
          <w:rFonts w:asciiTheme="majorBidi" w:hAnsiTheme="majorBidi" w:cstheme="majorBidi"/>
          <w:b/>
          <w:bCs/>
          <w:color w:val="0000FF"/>
          <w:sz w:val="20"/>
          <w:szCs w:val="20"/>
          <w:rtl/>
        </w:rPr>
        <w:t>ين))</w:t>
      </w:r>
      <w:r w:rsidRPr="00BC4AE4">
        <w:rPr>
          <w:rFonts w:asciiTheme="majorBidi" w:hAnsiTheme="majorBidi" w:cstheme="majorBidi"/>
          <w:b/>
          <w:bCs/>
          <w:sz w:val="20"/>
          <w:szCs w:val="20"/>
          <w:rtl/>
        </w:rPr>
        <w:t xml:space="preserve"> كأن الكاذبين هم جملة، وهو واحد منهم. </w:t>
      </w:r>
    </w:p>
    <w:p w:rsidR="00BC4AE4" w:rsidRP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sz w:val="20"/>
          <w:szCs w:val="20"/>
          <w:rtl/>
        </w:rPr>
        <w:t>هكذا قال العلماء سلفًا وخلفًا، لا يحل رواية الحديثِ الموضوع في أيِّ بابٍ من الأبواب، سواء كان في الحلال والحرام، أو في الترغيب أو في الترهيب، أو في القصص أو نحو ذلك، إلا مقترنًا ببيان أنه موضوع ومكذوب</w:t>
      </w:r>
      <w:r w:rsidRPr="00BC4AE4">
        <w:rPr>
          <w:rFonts w:asciiTheme="majorBidi" w:hAnsiTheme="majorBidi" w:cstheme="majorBidi"/>
          <w:b/>
          <w:bCs/>
          <w:sz w:val="20"/>
          <w:szCs w:val="20"/>
          <w:rtl/>
          <w:lang w:bidi="ar-EG"/>
        </w:rPr>
        <w:t>؛</w:t>
      </w:r>
      <w:r w:rsidRPr="00BC4AE4">
        <w:rPr>
          <w:rFonts w:asciiTheme="majorBidi" w:hAnsiTheme="majorBidi" w:cstheme="majorBidi"/>
          <w:b/>
          <w:bCs/>
          <w:sz w:val="20"/>
          <w:szCs w:val="20"/>
          <w:rtl/>
        </w:rPr>
        <w:t xml:space="preserve"> سواء كان في الحلال والحرام، أو في التواريخ، أو في أيِّ نوعٍ من أنواعِ الموضوعاتِ.</w:t>
      </w:r>
    </w:p>
    <w:p w:rsidR="00BC4AE4" w:rsidRDefault="00BC4AE4" w:rsidP="00BC4AE4">
      <w:pPr>
        <w:pStyle w:val="a3"/>
        <w:bidi/>
        <w:spacing w:before="0" w:beforeAutospacing="0" w:after="120" w:afterAutospacing="0"/>
        <w:jc w:val="lowKashida"/>
        <w:rPr>
          <w:rFonts w:asciiTheme="majorBidi" w:hAnsiTheme="majorBidi" w:cstheme="majorBidi"/>
          <w:b/>
          <w:bCs/>
          <w:sz w:val="20"/>
          <w:szCs w:val="20"/>
          <w:rtl/>
        </w:rPr>
      </w:pPr>
      <w:r w:rsidRPr="00BC4AE4">
        <w:rPr>
          <w:rFonts w:asciiTheme="majorBidi" w:hAnsiTheme="majorBidi" w:cstheme="majorBidi"/>
          <w:b/>
          <w:bCs/>
          <w:sz w:val="20"/>
          <w:szCs w:val="20"/>
          <w:rtl/>
        </w:rPr>
        <w:t xml:space="preserve">وفي حكم الموضوعات الإسرائيليات، التي أُلْصِقَت كذبًا وزورًا على النبي </w:t>
      </w:r>
      <w:r w:rsidRPr="00BC4AE4">
        <w:rPr>
          <w:rFonts w:asciiTheme="majorBidi" w:hAnsiTheme="majorBidi" w:cstheme="majorBidi"/>
          <w:b/>
          <w:bCs/>
          <w:position w:val="-4"/>
          <w:sz w:val="20"/>
          <w:szCs w:val="20"/>
        </w:rPr>
        <w:t></w:t>
      </w:r>
      <w:r w:rsidRPr="00BC4AE4">
        <w:rPr>
          <w:rFonts w:asciiTheme="majorBidi" w:hAnsiTheme="majorBidi" w:cstheme="majorBidi"/>
          <w:b/>
          <w:bCs/>
          <w:sz w:val="20"/>
          <w:szCs w:val="20"/>
          <w:rtl/>
        </w:rPr>
        <w:t xml:space="preserve"> وأن فاعل ذلك يستوجب التأديب والعقاب، بل يستوجب الضرب الشديد والحبس الطويل كما نقل عن الإمام البخاري، بل بالغ بعض العلماء؛ فأحل </w:t>
      </w:r>
      <w:r w:rsidRPr="00BC4AE4">
        <w:rPr>
          <w:rFonts w:asciiTheme="majorBidi" w:hAnsiTheme="majorBidi" w:cstheme="majorBidi"/>
          <w:b/>
          <w:bCs/>
          <w:sz w:val="20"/>
          <w:szCs w:val="20"/>
          <w:rtl/>
        </w:rPr>
        <w:lastRenderedPageBreak/>
        <w:t xml:space="preserve">دمَ من يكذب على رسول الله </w:t>
      </w:r>
      <w:r w:rsidRPr="00BC4AE4">
        <w:rPr>
          <w:rFonts w:asciiTheme="majorBidi" w:hAnsiTheme="majorBidi" w:cstheme="majorBidi"/>
          <w:b/>
          <w:bCs/>
          <w:position w:val="-4"/>
          <w:sz w:val="20"/>
          <w:szCs w:val="20"/>
        </w:rPr>
        <w:t></w:t>
      </w:r>
      <w:r w:rsidRPr="00BC4AE4">
        <w:rPr>
          <w:rFonts w:asciiTheme="majorBidi" w:hAnsiTheme="majorBidi" w:cstheme="majorBidi"/>
          <w:b/>
          <w:bCs/>
          <w:sz w:val="20"/>
          <w:szCs w:val="20"/>
          <w:rtl/>
        </w:rPr>
        <w:t xml:space="preserve"> فقد نقل شيخنا الدكتور محمد أبو شهبة هذا الرأي عن يحيى بن معين -رحمهم الله جميعًا.</w:t>
      </w:r>
    </w:p>
    <w:p w:rsidR="00624F4B" w:rsidRDefault="00624F4B" w:rsidP="00624F4B">
      <w:pPr>
        <w:pStyle w:val="a3"/>
        <w:bidi/>
        <w:spacing w:before="0" w:beforeAutospacing="0" w:after="120" w:afterAutospacing="0"/>
        <w:jc w:val="lowKashida"/>
        <w:rPr>
          <w:rFonts w:asciiTheme="majorBidi" w:hAnsiTheme="majorBidi" w:cstheme="majorBidi"/>
          <w:b/>
          <w:bCs/>
          <w:sz w:val="20"/>
          <w:szCs w:val="20"/>
          <w:rtl/>
        </w:rPr>
      </w:pPr>
    </w:p>
    <w:p w:rsidR="00624F4B" w:rsidRPr="00BC4AE4" w:rsidRDefault="00624F4B" w:rsidP="00624F4B">
      <w:pPr>
        <w:pStyle w:val="a3"/>
        <w:bidi/>
        <w:spacing w:before="0" w:beforeAutospacing="0" w:after="120" w:afterAutospacing="0"/>
        <w:jc w:val="lowKashida"/>
        <w:rPr>
          <w:rFonts w:asciiTheme="majorBidi" w:hAnsiTheme="majorBidi" w:cstheme="majorBidi"/>
          <w:b/>
          <w:bCs/>
          <w:sz w:val="20"/>
          <w:szCs w:val="20"/>
          <w:rtl/>
        </w:rPr>
      </w:pPr>
    </w:p>
    <w:p w:rsidR="00BC4AE4" w:rsidRPr="00BC4AE4" w:rsidRDefault="00BC4AE4" w:rsidP="00BC4AE4">
      <w:pPr>
        <w:spacing w:after="120" w:line="240" w:lineRule="auto"/>
        <w:jc w:val="center"/>
        <w:rPr>
          <w:rFonts w:asciiTheme="majorBidi" w:hAnsiTheme="majorBidi" w:cstheme="majorBidi"/>
          <w:b/>
          <w:bCs/>
          <w:sz w:val="20"/>
          <w:szCs w:val="20"/>
          <w:rtl/>
        </w:rPr>
      </w:pPr>
      <w:r w:rsidRPr="00BC4AE4">
        <w:rPr>
          <w:rFonts w:asciiTheme="majorBidi" w:hAnsiTheme="majorBidi" w:cstheme="majorBidi"/>
          <w:b/>
          <w:bCs/>
          <w:sz w:val="20"/>
          <w:szCs w:val="20"/>
          <w:rtl/>
        </w:rPr>
        <w:t>المصادر والمراجع</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tl/>
        </w:rPr>
      </w:pPr>
      <w:r w:rsidRPr="00BC4AE4">
        <w:rPr>
          <w:rFonts w:asciiTheme="majorBidi" w:hAnsiTheme="majorBidi" w:cstheme="majorBidi"/>
          <w:b/>
          <w:bCs/>
          <w:sz w:val="20"/>
          <w:szCs w:val="20"/>
          <w:rtl/>
        </w:rPr>
        <w:t>المحمدي عبد الرحمن، (الدخيل في التفسير) ، القاهرة،  جامعة الأزهر، مطبعة حسان، 2009م.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tl/>
        </w:rPr>
      </w:pPr>
      <w:r w:rsidRPr="00BC4AE4">
        <w:rPr>
          <w:rFonts w:asciiTheme="majorBidi" w:hAnsiTheme="majorBidi" w:cstheme="majorBidi"/>
          <w:b/>
          <w:bCs/>
          <w:sz w:val="20"/>
          <w:szCs w:val="20"/>
          <w:rtl/>
        </w:rPr>
        <w:t>الذهبي، محمد حسين الذهبي،  (التفسير والمفسرون) ، طبعة دار الأرقم، 1999م.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الذهبي، محمد حسين الذهبي،  (الإسرائيليات في التفسير والحديث) ، طبعة مكتبة وهبة، 1990م.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 xml:space="preserve">شليوه، سمير شليوه،  (الدخيل والإسرائيليات) ، القاهرة، جامعة الأزهر </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الشهرستاني، محمد بن عبد الكريم الشهرستاني،  (الملل والنحل) ، طبعة دار الفكر، 2001م.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محمد الخضر حسين، (البابية أو البهائية) ،مجمع البحوث الإسلامية</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Pr>
      </w:pPr>
      <w:r w:rsidRPr="00BC4AE4">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BC4AE4" w:rsidRPr="00BC4AE4" w:rsidRDefault="00BC4AE4" w:rsidP="00BC4AE4">
      <w:pPr>
        <w:numPr>
          <w:ilvl w:val="0"/>
          <w:numId w:val="2"/>
        </w:numPr>
        <w:spacing w:after="120" w:line="240" w:lineRule="auto"/>
        <w:jc w:val="both"/>
        <w:rPr>
          <w:rFonts w:asciiTheme="majorBidi" w:hAnsiTheme="majorBidi" w:cstheme="majorBidi"/>
          <w:b/>
          <w:bCs/>
          <w:sz w:val="20"/>
          <w:szCs w:val="20"/>
          <w:rtl/>
        </w:rPr>
      </w:pPr>
      <w:r w:rsidRPr="00BC4AE4">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BC4AE4" w:rsidRPr="00E2443D" w:rsidRDefault="00BC4AE4" w:rsidP="00E2443D">
      <w:pPr>
        <w:numPr>
          <w:ilvl w:val="0"/>
          <w:numId w:val="2"/>
        </w:numPr>
        <w:spacing w:after="120" w:line="240" w:lineRule="auto"/>
        <w:jc w:val="both"/>
        <w:rPr>
          <w:rFonts w:asciiTheme="majorBidi" w:hAnsiTheme="majorBidi" w:cstheme="majorBidi"/>
          <w:b/>
          <w:bCs/>
          <w:sz w:val="20"/>
          <w:szCs w:val="20"/>
          <w:rtl/>
        </w:rPr>
        <w:sectPr w:rsidR="00BC4AE4" w:rsidRPr="00E2443D" w:rsidSect="00BC4AE4">
          <w:type w:val="continuous"/>
          <w:pgSz w:w="11906" w:h="16838"/>
          <w:pgMar w:top="964" w:right="1021" w:bottom="964" w:left="1021" w:header="709" w:footer="709" w:gutter="0"/>
          <w:cols w:num="2" w:space="708"/>
          <w:bidi/>
          <w:rtlGutter/>
          <w:docGrid w:linePitch="360"/>
        </w:sectPr>
      </w:pPr>
      <w:r w:rsidRPr="00BC4AE4">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BC4AE4" w:rsidRPr="00BC4AE4" w:rsidRDefault="00BC4AE4" w:rsidP="00E2443D">
      <w:pPr>
        <w:rPr>
          <w:i/>
          <w:iCs/>
        </w:rPr>
      </w:pPr>
    </w:p>
    <w:sectPr w:rsidR="00BC4AE4" w:rsidRPr="00BC4AE4" w:rsidSect="00BC4AE4">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02A728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BC4AE4"/>
    <w:rsid w:val="001E3B8C"/>
    <w:rsid w:val="00514443"/>
    <w:rsid w:val="00624F4B"/>
    <w:rsid w:val="009556CB"/>
    <w:rsid w:val="00BC4AE4"/>
    <w:rsid w:val="00BF7572"/>
    <w:rsid w:val="00C36023"/>
    <w:rsid w:val="00CE68A3"/>
    <w:rsid w:val="00D164A6"/>
    <w:rsid w:val="00E2443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BC4AE4"/>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BC4AE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C4AE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Office Word</Application>
  <DocSecurity>0</DocSecurity>
  <Lines>22</Lines>
  <Paragraphs>6</Paragraphs>
  <ScaleCrop>false</ScaleCrop>
  <Company/>
  <LinksUpToDate>false</LinksUpToDate>
  <CharactersWithSpaces>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2013-06-20T07:45:00Z</dcterms:created>
  <dcterms:modified xsi:type="dcterms:W3CDTF">2013-06-26T08:33:00Z</dcterms:modified>
</cp:coreProperties>
</file>