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57" w:rsidRPr="00EF7032" w:rsidRDefault="009C7857" w:rsidP="00EF7032">
      <w:pPr>
        <w:spacing w:line="240" w:lineRule="auto"/>
        <w:jc w:val="center"/>
        <w:rPr>
          <w:i/>
          <w:iCs/>
          <w:rtl/>
        </w:rPr>
      </w:pPr>
      <w:r w:rsidRPr="009C7857">
        <w:rPr>
          <w:rFonts w:asciiTheme="majorBidi" w:eastAsia="Calibri" w:hAnsiTheme="majorBidi" w:cstheme="majorBidi"/>
          <w:i/>
          <w:iCs/>
          <w:sz w:val="48"/>
          <w:szCs w:val="48"/>
          <w:rtl/>
        </w:rPr>
        <w:t>قصة الذبيح ابن إبراهيم</w:t>
      </w:r>
      <w:r w:rsidRPr="009C7857">
        <w:rPr>
          <w:rFonts w:ascii="Calibri" w:eastAsia="Calibri" w:hAnsi="Calibri" w:cs="AGA Rasheeq Bold" w:hint="cs"/>
          <w:i/>
          <w:iCs/>
          <w:sz w:val="48"/>
          <w:szCs w:val="48"/>
          <w:rtl/>
        </w:rPr>
        <w:t xml:space="preserve"> </w:t>
      </w:r>
      <w:r w:rsidRPr="009C7857">
        <w:rPr>
          <w:rFonts w:ascii="Calibri" w:eastAsia="Calibri" w:hAnsi="Calibri" w:cs="SC_ALYERMOOK" w:hint="cs"/>
          <w:i/>
          <w:iCs/>
          <w:position w:val="-4"/>
          <w:sz w:val="48"/>
          <w:szCs w:val="48"/>
          <w:rtl/>
        </w:rPr>
        <w:t>#</w:t>
      </w:r>
      <w:r w:rsidR="00EF7032">
        <w:rPr>
          <w:rFonts w:ascii="Calibri" w:eastAsia="Calibri" w:hAnsi="Calibri" w:cs="SC_ALYERMOOK" w:hint="cs"/>
          <w:i/>
          <w:iCs/>
          <w:position w:val="-4"/>
          <w:sz w:val="48"/>
          <w:szCs w:val="48"/>
          <w:rtl/>
        </w:rPr>
        <w:t xml:space="preserve"> </w:t>
      </w:r>
      <w:r w:rsidRPr="009C7857">
        <w:rPr>
          <w:rFonts w:hint="cs"/>
          <w:i/>
          <w:iCs/>
          <w:sz w:val="48"/>
          <w:szCs w:val="48"/>
          <w:rtl/>
        </w:rPr>
        <w:t>(1)</w:t>
      </w:r>
    </w:p>
    <w:p w:rsidR="009C7857" w:rsidRPr="009264EA" w:rsidRDefault="009C7857" w:rsidP="009C7857">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الدخيل فى التفسير</w:t>
      </w:r>
    </w:p>
    <w:p w:rsidR="009C7857" w:rsidRPr="009264EA" w:rsidRDefault="009C7857" w:rsidP="00EF7032">
      <w:pPr>
        <w:pStyle w:val="papersubtitle"/>
        <w:bidi/>
        <w:rPr>
          <w:i/>
          <w:iCs/>
          <w:sz w:val="24"/>
          <w:szCs w:val="24"/>
        </w:rPr>
      </w:pPr>
      <w:r w:rsidRPr="009264EA">
        <w:rPr>
          <w:i/>
          <w:iCs/>
          <w:sz w:val="24"/>
          <w:szCs w:val="24"/>
          <w:rtl/>
        </w:rPr>
        <w:t xml:space="preserve">إعداد أ/ </w:t>
      </w:r>
      <w:proofErr w:type="spellStart"/>
      <w:r w:rsidR="00EF7032" w:rsidRPr="00EF7032">
        <w:rPr>
          <w:rFonts w:hint="cs"/>
          <w:i/>
          <w:iCs/>
          <w:sz w:val="24"/>
          <w:szCs w:val="24"/>
          <w:rtl/>
        </w:rPr>
        <w:t>ميريهان</w:t>
      </w:r>
      <w:proofErr w:type="spellEnd"/>
      <w:r w:rsidR="00EF7032" w:rsidRPr="00EF7032">
        <w:rPr>
          <w:rFonts w:hint="cs"/>
          <w:i/>
          <w:iCs/>
          <w:sz w:val="24"/>
          <w:szCs w:val="24"/>
          <w:rtl/>
        </w:rPr>
        <w:t xml:space="preserve"> مجدي محمود</w:t>
      </w:r>
    </w:p>
    <w:p w:rsidR="009C7857" w:rsidRPr="009264EA" w:rsidRDefault="009C7857" w:rsidP="009C7857">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9C7857" w:rsidRPr="009264EA" w:rsidRDefault="009C7857" w:rsidP="009C785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C7857" w:rsidRPr="009264EA" w:rsidRDefault="009C7857" w:rsidP="009C7857">
      <w:pPr>
        <w:pStyle w:val="papersubtitle"/>
        <w:bidi/>
        <w:rPr>
          <w:i/>
          <w:iCs/>
          <w:sz w:val="22"/>
          <w:szCs w:val="22"/>
          <w:rtl/>
        </w:rPr>
      </w:pPr>
      <w:r w:rsidRPr="009264EA">
        <w:rPr>
          <w:i/>
          <w:iCs/>
          <w:sz w:val="22"/>
          <w:szCs w:val="22"/>
          <w:rtl/>
        </w:rPr>
        <w:t>شاه علم – ماليزيا</w:t>
      </w:r>
    </w:p>
    <w:p w:rsidR="009C7857" w:rsidRDefault="00EF7032" w:rsidP="009C7857">
      <w:pPr>
        <w:spacing w:line="240" w:lineRule="auto"/>
        <w:jc w:val="center"/>
        <w:rPr>
          <w:rFonts w:ascii="Calibri" w:hAnsi="Calibri" w:cs="AL-Mateen"/>
          <w:sz w:val="32"/>
          <w:szCs w:val="32"/>
          <w:lang w:bidi="ar-EG"/>
        </w:rPr>
      </w:pPr>
      <w:r w:rsidRPr="00EF7032">
        <w:rPr>
          <w:rFonts w:asciiTheme="majorBidi" w:hAnsiTheme="majorBidi" w:cs="AL-Hotham"/>
          <w:i/>
          <w:iCs/>
        </w:rPr>
        <w:t>mirihan@mediu.ws</w:t>
      </w:r>
    </w:p>
    <w:p w:rsidR="009C7857" w:rsidRDefault="009C7857" w:rsidP="009C7857">
      <w:pPr>
        <w:spacing w:after="120" w:line="240" w:lineRule="auto"/>
        <w:rPr>
          <w:rFonts w:asciiTheme="majorBidi" w:hAnsiTheme="majorBidi" w:cstheme="majorBidi"/>
          <w:b/>
          <w:bCs/>
          <w:sz w:val="20"/>
          <w:szCs w:val="20"/>
          <w:rtl/>
        </w:rPr>
        <w:sectPr w:rsidR="009C7857" w:rsidSect="00BF7572">
          <w:pgSz w:w="11906" w:h="16838"/>
          <w:pgMar w:top="964" w:right="1021" w:bottom="964" w:left="1021" w:header="709" w:footer="709" w:gutter="0"/>
          <w:cols w:space="708"/>
          <w:bidi/>
          <w:rtlGutter/>
          <w:docGrid w:linePitch="360"/>
        </w:sectPr>
      </w:pPr>
    </w:p>
    <w:p w:rsidR="009C7857" w:rsidRPr="009C7857" w:rsidRDefault="009C7857" w:rsidP="009C7857">
      <w:pPr>
        <w:spacing w:after="120" w:line="240" w:lineRule="auto"/>
        <w:rPr>
          <w:rFonts w:asciiTheme="majorBidi" w:hAnsiTheme="majorBidi" w:cstheme="majorBidi"/>
          <w:b/>
          <w:bCs/>
          <w:sz w:val="20"/>
          <w:szCs w:val="20"/>
          <w:rtl/>
        </w:rPr>
      </w:pPr>
      <w:r w:rsidRPr="009C7857">
        <w:rPr>
          <w:rFonts w:asciiTheme="majorBidi" w:hAnsiTheme="majorBidi" w:cstheme="majorBidi"/>
          <w:b/>
          <w:bCs/>
          <w:sz w:val="20"/>
          <w:szCs w:val="20"/>
          <w:rtl/>
        </w:rPr>
        <w:lastRenderedPageBreak/>
        <w:t xml:space="preserve">خلاصة ـــ هذا البحث يبحث في </w:t>
      </w:r>
      <w:r w:rsidRPr="009C7857">
        <w:rPr>
          <w:rFonts w:asciiTheme="majorBidi" w:eastAsia="Calibri" w:hAnsiTheme="majorBidi" w:cstheme="majorBidi"/>
          <w:b/>
          <w:bCs/>
          <w:sz w:val="20"/>
          <w:szCs w:val="20"/>
          <w:rtl/>
        </w:rPr>
        <w:t xml:space="preserve">قصة الذبيح ابن إبراهيم </w:t>
      </w:r>
      <w:r w:rsidRPr="009C7857">
        <w:rPr>
          <w:rFonts w:asciiTheme="majorBidi" w:eastAsia="Calibri" w:hAnsiTheme="majorBidi" w:cstheme="majorBidi"/>
          <w:b/>
          <w:bCs/>
          <w:position w:val="-4"/>
          <w:sz w:val="20"/>
          <w:szCs w:val="20"/>
          <w:rtl/>
        </w:rPr>
        <w:t>#</w:t>
      </w:r>
    </w:p>
    <w:p w:rsidR="009C7857" w:rsidRPr="009C7857" w:rsidRDefault="009C7857" w:rsidP="009C7857">
      <w:pPr>
        <w:spacing w:after="120" w:line="240" w:lineRule="auto"/>
        <w:rPr>
          <w:rFonts w:asciiTheme="majorBidi" w:hAnsiTheme="majorBidi" w:cstheme="majorBidi"/>
          <w:b/>
          <w:bCs/>
          <w:sz w:val="20"/>
          <w:szCs w:val="20"/>
          <w:rtl/>
          <w:lang w:bidi="ar-EG"/>
        </w:rPr>
      </w:pPr>
      <w:r w:rsidRPr="009C7857">
        <w:rPr>
          <w:rFonts w:asciiTheme="majorBidi" w:hAnsiTheme="majorBidi" w:cstheme="majorBidi"/>
          <w:b/>
          <w:bCs/>
          <w:sz w:val="20"/>
          <w:szCs w:val="20"/>
          <w:rtl/>
        </w:rPr>
        <w:t xml:space="preserve">الكلمات المفتاحية : الكلام ، الإسرائيليات ، الآيات </w:t>
      </w:r>
    </w:p>
    <w:p w:rsidR="009C7857" w:rsidRPr="009C7857" w:rsidRDefault="009C7857" w:rsidP="009C7857">
      <w:pPr>
        <w:pStyle w:val="a4"/>
        <w:numPr>
          <w:ilvl w:val="0"/>
          <w:numId w:val="1"/>
        </w:numPr>
        <w:spacing w:after="120"/>
        <w:jc w:val="center"/>
        <w:rPr>
          <w:rFonts w:asciiTheme="majorBidi" w:hAnsiTheme="majorBidi" w:cstheme="majorBidi"/>
          <w:b/>
          <w:bCs/>
          <w:sz w:val="20"/>
          <w:szCs w:val="20"/>
          <w:rtl/>
        </w:rPr>
      </w:pPr>
      <w:r w:rsidRPr="009C7857">
        <w:rPr>
          <w:rFonts w:asciiTheme="majorBidi" w:hAnsiTheme="majorBidi" w:cstheme="majorBidi"/>
          <w:b/>
          <w:bCs/>
          <w:sz w:val="20"/>
          <w:szCs w:val="20"/>
          <w:rtl/>
        </w:rPr>
        <w:t>المقدمة</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C7857">
        <w:rPr>
          <w:rFonts w:asciiTheme="majorBidi" w:eastAsia="Calibri" w:hAnsiTheme="majorBidi" w:cstheme="majorBidi"/>
          <w:b/>
          <w:bCs/>
          <w:sz w:val="20"/>
          <w:szCs w:val="20"/>
          <w:rtl/>
        </w:rPr>
        <w:t xml:space="preserve">قصة الذبيح ابن إبراهيم </w:t>
      </w:r>
      <w:r w:rsidRPr="009C7857">
        <w:rPr>
          <w:rFonts w:asciiTheme="majorBidi" w:eastAsia="Calibri" w:hAnsiTheme="majorBidi" w:cstheme="majorBidi"/>
          <w:b/>
          <w:bCs/>
          <w:position w:val="-4"/>
          <w:sz w:val="20"/>
          <w:szCs w:val="20"/>
          <w:rtl/>
        </w:rPr>
        <w:t>#</w:t>
      </w:r>
    </w:p>
    <w:p w:rsidR="009C7857" w:rsidRPr="009C7857" w:rsidRDefault="009C7857" w:rsidP="009C7857">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9C7857">
        <w:rPr>
          <w:rFonts w:asciiTheme="majorBidi" w:hAnsiTheme="majorBidi" w:cstheme="majorBidi"/>
          <w:b/>
          <w:bCs/>
          <w:sz w:val="20"/>
          <w:szCs w:val="20"/>
          <w:rtl/>
        </w:rPr>
        <w:t>عنوان المقال</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 xml:space="preserve">ننتقل إلى موضوع واسع كثر الكلام فيه، وهو أيضًا عمر بالإسرائيليات الكثيرة، ألا وهو ما ورد في قصة الذبيح ابن إبراهيم </w:t>
      </w:r>
      <w:r w:rsidRPr="009C7857">
        <w:rPr>
          <w:rFonts w:asciiTheme="majorBidi" w:hAnsiTheme="majorBidi" w:cstheme="majorBidi"/>
          <w:b/>
          <w:bCs/>
          <w:position w:val="-4"/>
          <w:sz w:val="20"/>
          <w:szCs w:val="20"/>
          <w:rtl/>
          <w:lang w:bidi="ar-EG"/>
        </w:rPr>
        <w:t>#</w:t>
      </w:r>
      <w:r w:rsidRPr="009C7857">
        <w:rPr>
          <w:rFonts w:asciiTheme="majorBidi" w:hAnsiTheme="majorBidi" w:cstheme="majorBidi"/>
          <w:b/>
          <w:bCs/>
          <w:sz w:val="20"/>
          <w:szCs w:val="20"/>
          <w:rtl/>
        </w:rPr>
        <w:t xml:space="preserve"> أهو سيدنا إسماعيل أو أنه سيدنا إسحاق؟.</w:t>
      </w:r>
    </w:p>
    <w:p w:rsidR="009C7857" w:rsidRPr="009C7857" w:rsidRDefault="009C7857" w:rsidP="009C7857">
      <w:pPr>
        <w:pStyle w:val="a3"/>
        <w:bidi/>
        <w:spacing w:before="0" w:beforeAutospacing="0" w:after="120" w:afterAutospacing="0"/>
        <w:jc w:val="both"/>
        <w:rPr>
          <w:rFonts w:asciiTheme="majorBidi" w:hAnsiTheme="majorBidi" w:cstheme="majorBidi"/>
          <w:b/>
          <w:bCs/>
          <w:sz w:val="20"/>
          <w:szCs w:val="20"/>
          <w:rtl/>
        </w:rPr>
      </w:pPr>
      <w:r w:rsidRPr="009C7857">
        <w:rPr>
          <w:rFonts w:asciiTheme="majorBidi" w:hAnsiTheme="majorBidi" w:cstheme="majorBidi"/>
          <w:b/>
          <w:bCs/>
          <w:sz w:val="20"/>
          <w:szCs w:val="20"/>
          <w:rtl/>
        </w:rPr>
        <w:t>وردت في هذا إسرائيليات كثيرة وكثيرة</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ومن الإسرائيليات ما يذكره كثير من المفسرين عند تفسير الآيات التي ذكرت هذا بتفصيل، في قوله –جل و علا- في سورة </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الصافات</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w:t>
      </w:r>
      <w:r w:rsidRPr="009C7857">
        <w:rPr>
          <w:rFonts w:ascii="Tahoma" w:hAnsi="Tahoma" w:cs="AL-Hotham" w:hint="cs"/>
          <w:sz w:val="20"/>
          <w:szCs w:val="20"/>
          <w:rtl/>
        </w:rPr>
        <w:t xml:space="preserve"> </w:t>
      </w:r>
      <w:r w:rsidRPr="009C7857">
        <w:rPr>
          <w:rFonts w:ascii="Tahoma" w:hAnsi="Tahoma" w:cs="DecoType Thuluth"/>
          <w:color w:val="008000"/>
          <w:sz w:val="20"/>
          <w:szCs w:val="20"/>
          <w:rtl/>
        </w:rPr>
        <w:t>{</w:t>
      </w:r>
      <w:r w:rsidRPr="009C7857">
        <w:rPr>
          <w:rFonts w:ascii="QCF_P449" w:hAnsi="QCF_P449" w:cs="QCF_P449"/>
          <w:color w:val="008000"/>
          <w:sz w:val="20"/>
          <w:szCs w:val="20"/>
          <w:rtl/>
        </w:rPr>
        <w:t>ﯨ ﯩ ﯪ ﯫ ﯬ ﯭ ﯮ</w:t>
      </w:r>
      <w:r w:rsidRPr="009C7857">
        <w:rPr>
          <w:rFonts w:ascii="QCF_BSML" w:hAnsi="QCF_BSML" w:cs="QCF_BSML" w:hint="cs"/>
          <w:color w:val="008000"/>
          <w:sz w:val="20"/>
          <w:szCs w:val="20"/>
          <w:rtl/>
        </w:rPr>
        <w:t xml:space="preserve"> </w:t>
      </w:r>
      <w:r w:rsidRPr="009C7857">
        <w:rPr>
          <w:rFonts w:ascii="QCF_P449" w:hAnsi="QCF_P449" w:cs="QCF_P449"/>
          <w:color w:val="008000"/>
          <w:sz w:val="20"/>
          <w:szCs w:val="20"/>
          <w:rtl/>
        </w:rPr>
        <w:t>ﯯ ﯰ ﯱ ﯲ ﯳ ﯴ</w:t>
      </w:r>
      <w:r w:rsidRPr="009C7857">
        <w:rPr>
          <w:rFonts w:ascii="QCF_BSML" w:hAnsi="QCF_BSML" w:cs="QCF_BSML" w:hint="cs"/>
          <w:color w:val="008000"/>
          <w:sz w:val="20"/>
          <w:szCs w:val="20"/>
          <w:rtl/>
        </w:rPr>
        <w:t xml:space="preserve"> </w:t>
      </w:r>
      <w:r w:rsidRPr="009C7857">
        <w:rPr>
          <w:rFonts w:ascii="QCF_P449" w:hAnsi="QCF_P449" w:cs="QCF_P449"/>
          <w:color w:val="008000"/>
          <w:sz w:val="20"/>
          <w:szCs w:val="20"/>
          <w:rtl/>
        </w:rPr>
        <w:t>ﯵ ﯶ ﯷ ﯸ</w:t>
      </w:r>
      <w:r w:rsidRPr="009C7857">
        <w:rPr>
          <w:rFonts w:ascii="QCF_BSML" w:hAnsi="QCF_BSML" w:cs="QCF_BSML" w:hint="cs"/>
          <w:color w:val="008000"/>
          <w:sz w:val="20"/>
          <w:szCs w:val="20"/>
          <w:rtl/>
        </w:rPr>
        <w:t xml:space="preserve"> </w:t>
      </w:r>
      <w:r w:rsidRPr="009C7857">
        <w:rPr>
          <w:rFonts w:ascii="QCF_P449" w:hAnsi="QCF_P449" w:cs="QCF_P449"/>
          <w:color w:val="008000"/>
          <w:sz w:val="20"/>
          <w:szCs w:val="20"/>
          <w:rtl/>
        </w:rPr>
        <w:t>ﯹ ﯺ ﯻ ﯼ ﯽ ﯾ ﯿ ﰀ ﰁ ﰂ ﰃ ﰄ ﰅ ﰆ ﰇ ﰈ ﰉ ﰊ ﰋ ﰌ ﰍ ﰎ ﰏ ﰐ ﰑ ﰒ ﰓ ﰔ ﰕ</w:t>
      </w:r>
      <w:r w:rsidRPr="009C7857">
        <w:rPr>
          <w:rFonts w:ascii="QCF_BSML" w:hAnsi="QCF_BSML" w:cs="QCF_BSML" w:hint="cs"/>
          <w:color w:val="008000"/>
          <w:sz w:val="20"/>
          <w:szCs w:val="20"/>
          <w:rtl/>
        </w:rPr>
        <w:t xml:space="preserve"> </w:t>
      </w:r>
      <w:r w:rsidRPr="009C7857">
        <w:rPr>
          <w:rFonts w:ascii="QCF_P450" w:hAnsi="QCF_P450" w:cs="QCF_P450"/>
          <w:color w:val="008000"/>
          <w:sz w:val="20"/>
          <w:szCs w:val="20"/>
          <w:rtl/>
        </w:rPr>
        <w:t>ﭑ ﭒ ﭓ ﭔ ﭕ</w:t>
      </w:r>
      <w:r w:rsidRPr="009C7857">
        <w:rPr>
          <w:rFonts w:ascii="QCF_BSML" w:hAnsi="QCF_BSML" w:cs="QCF_BSML" w:hint="cs"/>
          <w:color w:val="008000"/>
          <w:sz w:val="20"/>
          <w:szCs w:val="20"/>
          <w:rtl/>
        </w:rPr>
        <w:t xml:space="preserve"> </w:t>
      </w:r>
      <w:r w:rsidRPr="009C7857">
        <w:rPr>
          <w:rFonts w:ascii="QCF_P450" w:hAnsi="QCF_P450" w:cs="QCF_P450"/>
          <w:color w:val="008000"/>
          <w:sz w:val="20"/>
          <w:szCs w:val="20"/>
          <w:rtl/>
        </w:rPr>
        <w:t>ﭖ ﭗ ﭘ ﭙ</w:t>
      </w:r>
      <w:r w:rsidRPr="009C7857">
        <w:rPr>
          <w:rFonts w:ascii="QCF_BSML" w:hAnsi="QCF_BSML" w:cs="QCF_BSML" w:hint="cs"/>
          <w:color w:val="008000"/>
          <w:sz w:val="20"/>
          <w:szCs w:val="20"/>
          <w:rtl/>
        </w:rPr>
        <w:t xml:space="preserve"> </w:t>
      </w:r>
      <w:r w:rsidRPr="009C7857">
        <w:rPr>
          <w:rFonts w:ascii="QCF_P450" w:hAnsi="QCF_P450" w:cs="QCF_P450"/>
          <w:color w:val="008000"/>
          <w:sz w:val="20"/>
          <w:szCs w:val="20"/>
          <w:rtl/>
        </w:rPr>
        <w:t>ﭚ ﭛ ﭜ ﭝ ﭞ ﭟ ﭠ ﭡ ﭢ</w:t>
      </w:r>
      <w:r w:rsidRPr="009C7857">
        <w:rPr>
          <w:rFonts w:ascii="QCF_BSML" w:hAnsi="QCF_BSML" w:cs="QCF_BSML" w:hint="cs"/>
          <w:color w:val="008000"/>
          <w:sz w:val="20"/>
          <w:szCs w:val="20"/>
          <w:rtl/>
        </w:rPr>
        <w:t xml:space="preserve"> </w:t>
      </w:r>
      <w:r w:rsidRPr="009C7857">
        <w:rPr>
          <w:rFonts w:ascii="QCF_P450" w:hAnsi="QCF_P450" w:cs="QCF_P450"/>
          <w:color w:val="008000"/>
          <w:sz w:val="20"/>
          <w:szCs w:val="20"/>
          <w:rtl/>
        </w:rPr>
        <w:t>ﭣ ﭤ ﭥ ﭦ ﭧ ﭨ</w:t>
      </w:r>
      <w:r w:rsidRPr="009C7857">
        <w:rPr>
          <w:rFonts w:ascii="QCF_BSML" w:hAnsi="QCF_BSML" w:cs="QCF_BSML" w:hint="cs"/>
          <w:color w:val="008000"/>
          <w:sz w:val="20"/>
          <w:szCs w:val="20"/>
          <w:rtl/>
        </w:rPr>
        <w:t xml:space="preserve"> </w:t>
      </w:r>
      <w:r w:rsidRPr="009C7857">
        <w:rPr>
          <w:rFonts w:ascii="QCF_P450" w:hAnsi="QCF_P450" w:cs="QCF_P450"/>
          <w:color w:val="008000"/>
          <w:sz w:val="20"/>
          <w:szCs w:val="20"/>
          <w:rtl/>
        </w:rPr>
        <w:t>ﭩ ﭪ ﭫ ﭬ</w:t>
      </w:r>
      <w:r w:rsidRPr="009C7857">
        <w:rPr>
          <w:rFonts w:ascii="QCF_BSML" w:hAnsi="QCF_BSML" w:cs="QCF_BSML" w:hint="cs"/>
          <w:color w:val="008000"/>
          <w:sz w:val="20"/>
          <w:szCs w:val="20"/>
          <w:rtl/>
        </w:rPr>
        <w:t xml:space="preserve"> </w:t>
      </w:r>
      <w:r w:rsidRPr="009C7857">
        <w:rPr>
          <w:rFonts w:ascii="QCF_P450" w:hAnsi="QCF_P450" w:cs="QCF_P450"/>
          <w:color w:val="008000"/>
          <w:sz w:val="20"/>
          <w:szCs w:val="20"/>
          <w:rtl/>
        </w:rPr>
        <w:t>ﭭ ﭮ ﭯ ﭰ ﭱ</w:t>
      </w:r>
      <w:r w:rsidRPr="009C7857">
        <w:rPr>
          <w:rFonts w:ascii="QCF_BSML" w:hAnsi="QCF_BSML" w:cs="QCF_BSML" w:hint="cs"/>
          <w:color w:val="008000"/>
          <w:sz w:val="20"/>
          <w:szCs w:val="20"/>
          <w:rtl/>
        </w:rPr>
        <w:t xml:space="preserve"> </w:t>
      </w:r>
      <w:r w:rsidRPr="009C7857">
        <w:rPr>
          <w:rFonts w:ascii="QCF_P450" w:hAnsi="QCF_P450" w:cs="QCF_P450"/>
          <w:color w:val="008000"/>
          <w:sz w:val="20"/>
          <w:szCs w:val="20"/>
          <w:rtl/>
        </w:rPr>
        <w:t>ﭲ ﭳ ﭴ ﭵ</w:t>
      </w:r>
      <w:r w:rsidRPr="009C7857">
        <w:rPr>
          <w:rFonts w:ascii="QCF_BSML" w:hAnsi="QCF_BSML" w:cs="QCF_BSML" w:hint="cs"/>
          <w:color w:val="008000"/>
          <w:sz w:val="20"/>
          <w:szCs w:val="20"/>
          <w:rtl/>
        </w:rPr>
        <w:t xml:space="preserve"> </w:t>
      </w:r>
      <w:r w:rsidRPr="009C7857">
        <w:rPr>
          <w:rFonts w:ascii="QCF_P450" w:hAnsi="QCF_P450" w:cs="QCF_P450"/>
          <w:color w:val="008000"/>
          <w:sz w:val="20"/>
          <w:szCs w:val="20"/>
          <w:rtl/>
        </w:rPr>
        <w:t>ﭶ ﭷ ﭸ ﭹ</w:t>
      </w:r>
      <w:r w:rsidRPr="009C7857">
        <w:rPr>
          <w:rFonts w:ascii="QCF_BSML" w:hAnsi="QCF_BSML" w:cs="QCF_BSML" w:hint="cs"/>
          <w:color w:val="008000"/>
          <w:sz w:val="20"/>
          <w:szCs w:val="20"/>
          <w:rtl/>
        </w:rPr>
        <w:t xml:space="preserve"> </w:t>
      </w:r>
      <w:r w:rsidRPr="009C7857">
        <w:rPr>
          <w:rFonts w:ascii="QCF_P450" w:hAnsi="QCF_P450" w:cs="QCF_P450"/>
          <w:color w:val="008000"/>
          <w:sz w:val="20"/>
          <w:szCs w:val="20"/>
          <w:rtl/>
        </w:rPr>
        <w:t>ﭺ ﭻ ﭼ ﭽ ﭾ</w:t>
      </w:r>
      <w:r w:rsidRPr="009C7857">
        <w:rPr>
          <w:rFonts w:ascii="QCF_BSML" w:hAnsi="QCF_BSML" w:cs="QCF_BSML" w:hint="cs"/>
          <w:color w:val="008000"/>
          <w:sz w:val="20"/>
          <w:szCs w:val="20"/>
          <w:rtl/>
        </w:rPr>
        <w:t xml:space="preserve"> </w:t>
      </w:r>
      <w:r w:rsidRPr="009C7857">
        <w:rPr>
          <w:rFonts w:ascii="QCF_P450" w:hAnsi="QCF_P450" w:cs="QCF_P450"/>
          <w:color w:val="008000"/>
          <w:sz w:val="20"/>
          <w:szCs w:val="20"/>
          <w:rtl/>
        </w:rPr>
        <w:t>ﭿ ﮀ ﮁ ﮂ ﮃ ﮄ</w:t>
      </w:r>
      <w:r w:rsidRPr="009C7857">
        <w:rPr>
          <w:rFonts w:ascii="QCF_P450" w:hAnsi="QCF_P450" w:cs="QCF_P450" w:hint="cs"/>
          <w:color w:val="008000"/>
          <w:sz w:val="20"/>
          <w:szCs w:val="20"/>
          <w:rtl/>
        </w:rPr>
        <w:t xml:space="preserve"> </w:t>
      </w:r>
      <w:r w:rsidRPr="009C7857">
        <w:rPr>
          <w:rFonts w:ascii="QCF_P450" w:hAnsi="QCF_P450" w:cs="QCF_P450"/>
          <w:color w:val="008000"/>
          <w:sz w:val="20"/>
          <w:szCs w:val="20"/>
          <w:rtl/>
        </w:rPr>
        <w:t>ﮅ ﮆ ﮇ ﮈ ﮉ ﮊ ﮋ ﮌ ﮍ ﮎ ﮏ</w:t>
      </w:r>
      <w:r w:rsidRPr="009C7857">
        <w:rPr>
          <w:rFonts w:ascii="QCF_P450" w:hAnsi="QCF_P450" w:cs="DecoType Thuluth"/>
          <w:color w:val="008000"/>
          <w:sz w:val="20"/>
          <w:szCs w:val="20"/>
          <w:rtl/>
        </w:rPr>
        <w:t>}</w:t>
      </w:r>
      <w:r w:rsidRPr="009C7857">
        <w:rPr>
          <w:rFonts w:ascii="Tahoma" w:hAnsi="Tahoma" w:cs="AL-Hotham"/>
          <w:color w:val="008000"/>
          <w:sz w:val="20"/>
          <w:szCs w:val="20"/>
          <w:rtl/>
        </w:rPr>
        <w:t xml:space="preserve"> </w:t>
      </w:r>
      <w:r w:rsidRPr="009C7857">
        <w:rPr>
          <w:rFonts w:asciiTheme="majorBidi" w:hAnsiTheme="majorBidi" w:cstheme="majorBidi"/>
          <w:b/>
          <w:bCs/>
          <w:sz w:val="20"/>
          <w:szCs w:val="20"/>
          <w:rtl/>
        </w:rPr>
        <w:t>[الصافات: 99- 113]</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هذه الآيات في تفسيرها في معظم كتب التفسير، روى المفسرون رو</w:t>
      </w:r>
      <w:r w:rsidRPr="009C7857">
        <w:rPr>
          <w:rFonts w:asciiTheme="majorBidi" w:hAnsiTheme="majorBidi" w:cstheme="majorBidi"/>
          <w:b/>
          <w:bCs/>
          <w:sz w:val="20"/>
          <w:szCs w:val="20"/>
          <w:rtl/>
          <w:lang w:bidi="ar-EG"/>
        </w:rPr>
        <w:t>ا</w:t>
      </w:r>
      <w:r w:rsidRPr="009C7857">
        <w:rPr>
          <w:rFonts w:asciiTheme="majorBidi" w:hAnsiTheme="majorBidi" w:cstheme="majorBidi"/>
          <w:b/>
          <w:bCs/>
          <w:sz w:val="20"/>
          <w:szCs w:val="20"/>
          <w:rtl/>
        </w:rPr>
        <w:t>يات كثيرة على رأسهم ابن جرير الطبري في تفسيره للآيات في (جامع البيان)، وكذا البغوي في (معالم التنزيل)، وصاحب (الدر المنثور) الإمام السيوطي، روايات كثيرة عن بعض الصحابة والتابعين وكعب الأحبار، ومعظمها يركز على أن الذبيح هو إسحاق، سبحان الله العظيم، المعروف أن الذبيح هو سيدنا إسماعيل وليس إسحاق، ومع ذلك أورد المفسرون روايات كثيرة في هذا الشأن</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سنقف عليها إن شاء الله.</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والأمر لم يقف ولم يقتصر عند المذكور عن الصحابة والتابعين</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بل بعضهم رفع ذلك زورًا إلى النبي </w:t>
      </w:r>
      <w:r w:rsidRPr="009C7857">
        <w:rPr>
          <w:rFonts w:asciiTheme="majorBidi" w:hAnsiTheme="majorBidi" w:cstheme="majorBidi"/>
          <w:b/>
          <w:bCs/>
          <w:position w:val="-4"/>
          <w:sz w:val="20"/>
          <w:szCs w:val="20"/>
        </w:rPr>
        <w:t></w:t>
      </w:r>
      <w:r w:rsidRPr="009C7857">
        <w:rPr>
          <w:rFonts w:asciiTheme="majorBidi" w:hAnsiTheme="majorBidi" w:cstheme="majorBidi"/>
          <w:b/>
          <w:bCs/>
          <w:sz w:val="20"/>
          <w:szCs w:val="20"/>
          <w:rtl/>
        </w:rPr>
        <w:t xml:space="preserve"> فقد روى ابن جرير، عن أبي كريب عن زيد بن حباب عن الحسن بن دينار، عن علي بن زيد بن جدعان</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عن الحسن</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عن الأحنف بن قيس عن العباس بن عبد المطلب، عن النبي النبي </w:t>
      </w:r>
      <w:r w:rsidRPr="009C7857">
        <w:rPr>
          <w:rFonts w:asciiTheme="majorBidi" w:hAnsiTheme="majorBidi" w:cstheme="majorBidi"/>
          <w:b/>
          <w:bCs/>
          <w:position w:val="-4"/>
          <w:sz w:val="20"/>
          <w:szCs w:val="20"/>
        </w:rPr>
        <w:t></w:t>
      </w:r>
      <w:r w:rsidRPr="009C7857">
        <w:rPr>
          <w:rFonts w:asciiTheme="majorBidi" w:hAnsiTheme="majorBidi" w:cstheme="majorBidi"/>
          <w:b/>
          <w:bCs/>
          <w:sz w:val="20"/>
          <w:szCs w:val="20"/>
          <w:rtl/>
        </w:rPr>
        <w:t xml:space="preserve"> قال: "الذبيح إسحاق"، وهذا حديث ضعيف ساقط، لا يصح الاحتجاج به، فالحسن بن دينار مطرود، وشيخه علي بن زيد بن جدعان منكر الأحاديث، فهذا يبين درجة هذا الحديث.</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 xml:space="preserve">وأخرج الديلمي في (مسند الفردوس) بسنده، عن أبي سعيد خضري </w:t>
      </w:r>
      <w:r w:rsidRPr="009C7857">
        <w:rPr>
          <w:rFonts w:asciiTheme="majorBidi" w:hAnsiTheme="majorBidi" w:cstheme="majorBidi"/>
          <w:b/>
          <w:bCs/>
          <w:position w:val="-4"/>
          <w:sz w:val="20"/>
          <w:szCs w:val="20"/>
          <w:rtl/>
        </w:rPr>
        <w:t>&gt;</w:t>
      </w:r>
      <w:r w:rsidRPr="009C7857">
        <w:rPr>
          <w:rFonts w:asciiTheme="majorBidi" w:hAnsiTheme="majorBidi" w:cstheme="majorBidi"/>
          <w:b/>
          <w:bCs/>
          <w:sz w:val="20"/>
          <w:szCs w:val="20"/>
          <w:rtl/>
        </w:rPr>
        <w:t xml:space="preserve"> قال: قال رسول الله النبي </w:t>
      </w:r>
      <w:r w:rsidRPr="009C7857">
        <w:rPr>
          <w:rFonts w:asciiTheme="majorBidi" w:hAnsiTheme="majorBidi" w:cstheme="majorBidi"/>
          <w:b/>
          <w:bCs/>
          <w:position w:val="-4"/>
          <w:sz w:val="20"/>
          <w:szCs w:val="20"/>
        </w:rPr>
        <w:t></w:t>
      </w:r>
      <w:r w:rsidRPr="009C7857">
        <w:rPr>
          <w:rFonts w:asciiTheme="majorBidi" w:hAnsiTheme="majorBidi" w:cstheme="majorBidi"/>
          <w:b/>
          <w:bCs/>
          <w:sz w:val="20"/>
          <w:szCs w:val="20"/>
          <w:rtl/>
        </w:rPr>
        <w:t xml:space="preserve">: "إن داود سأل ربه مسألة، فقال: اجعلني مثل إبراهيم وإسحاق ويعقوب، فأوحى الله إليه؛ إني ابتليت إبراهيم بالنار فصبر، وابتليت اسحاق بالذبح فصبر، وابتليت يعقوب فصبر"، هذا طبعًا كلام لا يصح. </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lastRenderedPageBreak/>
        <w:t>وأيضًا أخرج الدارقطني والديلمي في (مسند الفردوس) بسندهما، عن ابن مسعود قال</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قال رسول الله النبي </w:t>
      </w:r>
      <w:r w:rsidRPr="009C7857">
        <w:rPr>
          <w:rFonts w:asciiTheme="majorBidi" w:hAnsiTheme="majorBidi" w:cstheme="majorBidi"/>
          <w:b/>
          <w:bCs/>
          <w:position w:val="-4"/>
          <w:sz w:val="20"/>
          <w:szCs w:val="20"/>
        </w:rPr>
        <w:t></w:t>
      </w:r>
      <w:r w:rsidRPr="009C7857">
        <w:rPr>
          <w:rFonts w:asciiTheme="majorBidi" w:hAnsiTheme="majorBidi" w:cstheme="majorBidi"/>
          <w:b/>
          <w:bCs/>
          <w:sz w:val="20"/>
          <w:szCs w:val="20"/>
          <w:rtl/>
        </w:rPr>
        <w:t>: "الذبيح إسحاق"، وهي أحاديث لا تصح، هكذا قال علماؤنا</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علماء الجرح والتعديل، وعلماء الحديث، وعلى رأسهم شيخنا "الشيخ أبو شهبة" قال:</w:t>
      </w:r>
      <w:r w:rsidRPr="009C7857">
        <w:rPr>
          <w:rFonts w:asciiTheme="majorBidi" w:hAnsiTheme="majorBidi" w:cstheme="majorBidi"/>
          <w:b/>
          <w:bCs/>
          <w:sz w:val="20"/>
          <w:szCs w:val="20"/>
          <w:rtl/>
          <w:lang w:bidi="ar-EG"/>
        </w:rPr>
        <w:t xml:space="preserve"> </w:t>
      </w:r>
      <w:r w:rsidRPr="009C7857">
        <w:rPr>
          <w:rFonts w:asciiTheme="majorBidi" w:hAnsiTheme="majorBidi" w:cstheme="majorBidi"/>
          <w:b/>
          <w:bCs/>
          <w:sz w:val="20"/>
          <w:szCs w:val="20"/>
          <w:rtl/>
        </w:rPr>
        <w:t xml:space="preserve">وهي أحاديث لم تثبت ولم تصح، وأحاديث الديلمي في (مسند الفردوس) شأنها معروف، والدارقطني ربما يُخرج في </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سننه</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ما هو موضوع</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 xml:space="preserve">كما أخرج الطبراني في (الأوسط)، وابن أبي حاتم في </w:t>
      </w:r>
      <w:r w:rsidRPr="009C7857">
        <w:rPr>
          <w:rFonts w:asciiTheme="majorBidi" w:hAnsiTheme="majorBidi" w:cstheme="majorBidi"/>
          <w:b/>
          <w:bCs/>
          <w:sz w:val="20"/>
          <w:szCs w:val="20"/>
          <w:rtl/>
          <w:lang w:bidi="ar-EG"/>
        </w:rPr>
        <w:t>ت</w:t>
      </w:r>
      <w:r w:rsidRPr="009C7857">
        <w:rPr>
          <w:rFonts w:asciiTheme="majorBidi" w:hAnsiTheme="majorBidi" w:cstheme="majorBidi"/>
          <w:b/>
          <w:bCs/>
          <w:sz w:val="20"/>
          <w:szCs w:val="20"/>
          <w:rtl/>
        </w:rPr>
        <w:t>فسيره، من طريق الوليد بن مسلم، عن عبد الرحمن بن زيد بن أسلم، عن أبيه، عن عطاء بن يسار، عن أبي هريرة قال</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قال رسول الله </w:t>
      </w:r>
      <w:r w:rsidRPr="009C7857">
        <w:rPr>
          <w:rFonts w:asciiTheme="majorBidi" w:hAnsiTheme="majorBidi" w:cstheme="majorBidi"/>
          <w:b/>
          <w:bCs/>
          <w:position w:val="-4"/>
          <w:sz w:val="20"/>
          <w:szCs w:val="20"/>
        </w:rPr>
        <w:t></w:t>
      </w:r>
      <w:r w:rsidRPr="009C7857">
        <w:rPr>
          <w:rFonts w:asciiTheme="majorBidi" w:hAnsiTheme="majorBidi" w:cstheme="majorBidi"/>
          <w:b/>
          <w:bCs/>
          <w:sz w:val="20"/>
          <w:szCs w:val="20"/>
          <w:rtl/>
        </w:rPr>
        <w:t>: "إن الله تعالى خيرني بين أن يغفر لنصف أمتي أو شفاعتي</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فاخترت شفاعتي، ورجوته أن تكون أعم لأمتي، ولو الذي سبقني إليه العبد الصالح، لعجلت دعوتي، إن الله </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تعالى</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لما فرج عن إسحاق كرب الذبح، قيل له</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يا إسحاق، سل تعطى، قال</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أما والله لأتعجلنها قبل نزغات الشيطان، اللهم من مات لا</w:t>
      </w:r>
      <w:r w:rsidRPr="009C7857">
        <w:rPr>
          <w:rFonts w:asciiTheme="majorBidi" w:hAnsiTheme="majorBidi" w:cstheme="majorBidi"/>
          <w:b/>
          <w:bCs/>
          <w:sz w:val="20"/>
          <w:szCs w:val="20"/>
          <w:rtl/>
          <w:lang w:bidi="ar-EG"/>
        </w:rPr>
        <w:t xml:space="preserve"> </w:t>
      </w:r>
      <w:r w:rsidRPr="009C7857">
        <w:rPr>
          <w:rFonts w:asciiTheme="majorBidi" w:hAnsiTheme="majorBidi" w:cstheme="majorBidi"/>
          <w:b/>
          <w:bCs/>
          <w:sz w:val="20"/>
          <w:szCs w:val="20"/>
          <w:rtl/>
        </w:rPr>
        <w:t>يشرك بالله شيئًا قد أحسن فاغفر له"</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وعبد الرحمن بن زيد بن أسلم ضعيف، كما قال شيخنا "الشيخ أبو شهبة"، وابن زيد يروي المنكرات والغرائب، فلا يحتج بمروياته، وقد قال ابن كثير: الحديث غريب منكر وأخشى أن يكون فيه زيادة مدرجة، وهي قوله</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إن الله لما فرج عن إسحاق كرب الذبح، وإن كان محفوظًا فالأشبه أنه إسماعيل وحرفوه بإسحاق. </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إلى غير ذلك من الأخبار وفيها من الموقوف والضعيف والموضوع كثير، ومتى صح حديث مرفوع في أن الذبيح إسحاق قبلناه، ووضعناه على العين والرأس، ولكنها كما ترى لم يصح منها شيء، هكذا قال العلامة ال</w:t>
      </w:r>
      <w:r w:rsidRPr="009C7857">
        <w:rPr>
          <w:rFonts w:asciiTheme="majorBidi" w:hAnsiTheme="majorBidi" w:cstheme="majorBidi"/>
          <w:b/>
          <w:bCs/>
          <w:sz w:val="20"/>
          <w:szCs w:val="20"/>
          <w:rtl/>
          <w:lang w:bidi="ar-EG"/>
        </w:rPr>
        <w:t>أ</w:t>
      </w:r>
      <w:r w:rsidRPr="009C7857">
        <w:rPr>
          <w:rFonts w:asciiTheme="majorBidi" w:hAnsiTheme="majorBidi" w:cstheme="majorBidi"/>
          <w:b/>
          <w:bCs/>
          <w:sz w:val="20"/>
          <w:szCs w:val="20"/>
          <w:rtl/>
        </w:rPr>
        <w:t>لوسي عندما عرض لذل</w:t>
      </w:r>
      <w:r w:rsidRPr="009C7857">
        <w:rPr>
          <w:rFonts w:asciiTheme="majorBidi" w:hAnsiTheme="majorBidi" w:cstheme="majorBidi"/>
          <w:b/>
          <w:bCs/>
          <w:sz w:val="20"/>
          <w:szCs w:val="20"/>
          <w:rtl/>
          <w:lang w:bidi="ar-EG"/>
        </w:rPr>
        <w:t>ك</w:t>
      </w:r>
      <w:r w:rsidRPr="009C7857">
        <w:rPr>
          <w:rFonts w:asciiTheme="majorBidi" w:hAnsiTheme="majorBidi" w:cstheme="majorBidi"/>
          <w:b/>
          <w:bCs/>
          <w:sz w:val="20"/>
          <w:szCs w:val="20"/>
          <w:rtl/>
        </w:rPr>
        <w:t>.</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 xml:space="preserve">والحق أن المرويات في أن الذبيح إسحاق هي من إسرائيليات أهل الكتاب، وقد نقلها من أسلم منهم ككعب الأحبار، وحملها عنهم بعض الصحابة والتابعين، تحسينًا للظن بهم، فذهبوا إليه، وجاء بعدهم العلماء فاغتروا بها، وذهبوا إلى أن الذبيح إسحاق، وما من كتاب من كتب التفسير والسير والتواريخ إلا ويذكر فيه الخلاف بين السلف في هذا، إلا أن منهم من يعقب ببيان وجه الحق في هذا، ومنهم من لا يعقب </w:t>
      </w:r>
      <w:r w:rsidRPr="009C7857">
        <w:rPr>
          <w:rFonts w:asciiTheme="majorBidi" w:hAnsiTheme="majorBidi" w:cstheme="majorBidi"/>
          <w:b/>
          <w:bCs/>
          <w:sz w:val="20"/>
          <w:szCs w:val="20"/>
          <w:rtl/>
          <w:lang w:bidi="ar-EG"/>
        </w:rPr>
        <w:t>ا</w:t>
      </w:r>
      <w:r w:rsidRPr="009C7857">
        <w:rPr>
          <w:rFonts w:asciiTheme="majorBidi" w:hAnsiTheme="majorBidi" w:cstheme="majorBidi"/>
          <w:b/>
          <w:bCs/>
          <w:sz w:val="20"/>
          <w:szCs w:val="20"/>
          <w:rtl/>
        </w:rPr>
        <w:t>قتناعًا بها وتسليمًا لها.</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يقول شيخنا العلامة فضيلة الشيخ دكتور "محمد أبو شهبة": وحقيقة هذه المرويات أنها من وضع أهل الكتاب</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w:t>
      </w:r>
      <w:r w:rsidRPr="009C7857">
        <w:rPr>
          <w:rFonts w:asciiTheme="majorBidi" w:hAnsiTheme="majorBidi" w:cstheme="majorBidi"/>
          <w:b/>
          <w:bCs/>
          <w:sz w:val="20"/>
          <w:szCs w:val="20"/>
          <w:rtl/>
          <w:lang w:bidi="ar-EG"/>
        </w:rPr>
        <w:t>ل</w:t>
      </w:r>
      <w:r w:rsidRPr="009C7857">
        <w:rPr>
          <w:rFonts w:asciiTheme="majorBidi" w:hAnsiTheme="majorBidi" w:cstheme="majorBidi"/>
          <w:b/>
          <w:bCs/>
          <w:sz w:val="20"/>
          <w:szCs w:val="20"/>
          <w:rtl/>
        </w:rPr>
        <w:t xml:space="preserve">عداوتهم المتأصلة من قديم الزمان للنبي الأمي العربي محمد </w:t>
      </w:r>
      <w:r w:rsidRPr="009C7857">
        <w:rPr>
          <w:rFonts w:asciiTheme="majorBidi" w:hAnsiTheme="majorBidi" w:cstheme="majorBidi"/>
          <w:b/>
          <w:bCs/>
          <w:position w:val="-4"/>
          <w:sz w:val="20"/>
          <w:szCs w:val="20"/>
        </w:rPr>
        <w:t></w:t>
      </w:r>
      <w:r w:rsidRPr="009C7857">
        <w:rPr>
          <w:rFonts w:asciiTheme="majorBidi" w:hAnsiTheme="majorBidi" w:cstheme="majorBidi"/>
          <w:b/>
          <w:bCs/>
          <w:sz w:val="20"/>
          <w:szCs w:val="20"/>
          <w:rtl/>
        </w:rPr>
        <w:t xml:space="preserve"> وقومه العرب، فقد أرادوا ألا يكون لإسماعيل الجد الأعلى للنبي </w:t>
      </w:r>
      <w:r w:rsidRPr="009C7857">
        <w:rPr>
          <w:rFonts w:asciiTheme="majorBidi" w:hAnsiTheme="majorBidi" w:cstheme="majorBidi"/>
          <w:b/>
          <w:bCs/>
          <w:position w:val="-4"/>
          <w:sz w:val="20"/>
          <w:szCs w:val="20"/>
        </w:rPr>
        <w:t></w:t>
      </w:r>
      <w:r w:rsidRPr="009C7857">
        <w:rPr>
          <w:rFonts w:asciiTheme="majorBidi" w:hAnsiTheme="majorBidi" w:cstheme="majorBidi"/>
          <w:b/>
          <w:bCs/>
          <w:sz w:val="20"/>
          <w:szCs w:val="20"/>
          <w:rtl/>
        </w:rPr>
        <w:t xml:space="preserve"> والعرب فضل أنه الذبيح</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حتى لا ينجر ذلك إلى النبي </w:t>
      </w:r>
      <w:r w:rsidRPr="009C7857">
        <w:rPr>
          <w:rFonts w:asciiTheme="majorBidi" w:hAnsiTheme="majorBidi" w:cstheme="majorBidi"/>
          <w:b/>
          <w:bCs/>
          <w:position w:val="-4"/>
          <w:sz w:val="20"/>
          <w:szCs w:val="20"/>
        </w:rPr>
        <w:t></w:t>
      </w:r>
      <w:r w:rsidRPr="009C7857">
        <w:rPr>
          <w:rFonts w:asciiTheme="majorBidi" w:hAnsiTheme="majorBidi" w:cstheme="majorBidi"/>
          <w:b/>
          <w:bCs/>
          <w:sz w:val="20"/>
          <w:szCs w:val="20"/>
          <w:rtl/>
        </w:rPr>
        <w:t xml:space="preserve"> وإلى الجنس العربي. </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نقول أيضًا: إنهم حرفوا التوراة</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أهل الكتاب حرفوا التوراة، ولأجل هذا ولأجل أن يكون هذا الفضل لجدهم إسحاق لا لأخيه إسماعيل حرفوا التوراة في هذا، ولكن الله أبى إلا أن يغفل عما يدل على هذه الجريمة النكراء، والجاني غالبًا يترك من الآثار ما يدل على جريمته، والحق يبقى له شعاع ولو خافت يدل عليه مهما حاول المبطلون إخفاء نوره وطمس معالمه، فقد حذفوا من التوراة لفظ إسماعيل، ووضعوا بدله لفظ إسحاق، ولكنهم غفلوا عن كلمة كشفت عن هذا التزوير، وذلك الدث المشين، وإليك نص التوراة:</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ففي التوراة الإصحاح الثاني والعشرون</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الفقرة الثانية هذا النص: "فقال الرب خذ ابنك وحيدك الذي تحبه إسحاق، واذهب إلى أرض المريا واصعده هناك محرقة على أحد الجبال الذي أقول لك" انظر إلى العبارة، </w:t>
      </w:r>
      <w:r w:rsidRPr="009C7857">
        <w:rPr>
          <w:rFonts w:asciiTheme="majorBidi" w:hAnsiTheme="majorBidi" w:cstheme="majorBidi"/>
          <w:b/>
          <w:bCs/>
          <w:sz w:val="20"/>
          <w:szCs w:val="20"/>
          <w:rtl/>
        </w:rPr>
        <w:lastRenderedPageBreak/>
        <w:t xml:space="preserve">فليس أدلّ على كذب هذا من كلمة وحيدك، وإسحاق </w:t>
      </w:r>
      <w:r w:rsidRPr="009C7857">
        <w:rPr>
          <w:rFonts w:asciiTheme="majorBidi" w:hAnsiTheme="majorBidi" w:cstheme="majorBidi"/>
          <w:b/>
          <w:bCs/>
          <w:position w:val="-4"/>
          <w:sz w:val="20"/>
          <w:szCs w:val="20"/>
          <w:rtl/>
        </w:rPr>
        <w:t>#</w:t>
      </w:r>
      <w:r w:rsidRPr="009C7857">
        <w:rPr>
          <w:rFonts w:asciiTheme="majorBidi" w:hAnsiTheme="majorBidi" w:cstheme="majorBidi"/>
          <w:b/>
          <w:bCs/>
          <w:sz w:val="20"/>
          <w:szCs w:val="20"/>
          <w:rtl/>
        </w:rPr>
        <w:t xml:space="preserve"> لم يكن وحيدًا قط؛ لأنه ولد ولإسماعيل نحو أربع عشرة سنة، نعرف أن أول من بشر به سيدنا إبراهيم من الأولاد سيدنا إسماعيل، ثم كان إسحاق بعد ذلك، وهذا صريح في توراتهم هذا الكلام</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وقد بقي إسماعيل </w:t>
      </w:r>
      <w:r w:rsidRPr="009C7857">
        <w:rPr>
          <w:rFonts w:asciiTheme="majorBidi" w:hAnsiTheme="majorBidi" w:cstheme="majorBidi"/>
          <w:b/>
          <w:bCs/>
          <w:position w:val="-4"/>
          <w:sz w:val="20"/>
          <w:szCs w:val="20"/>
          <w:rtl/>
        </w:rPr>
        <w:t>#</w:t>
      </w:r>
      <w:r w:rsidRPr="009C7857">
        <w:rPr>
          <w:rFonts w:asciiTheme="majorBidi" w:hAnsiTheme="majorBidi" w:cstheme="majorBidi"/>
          <w:b/>
          <w:bCs/>
          <w:sz w:val="20"/>
          <w:szCs w:val="20"/>
          <w:rtl/>
        </w:rPr>
        <w:t xml:space="preserve"> حتى مات أبوه الخليل إبراهيم وحضر وفاته ودفنه</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وإليك ما ورد في هذا أيضًا في سفر التكوين، الإصحاح السادس عشر، الفقرة السادسة عشر هذا نص آخر: "</w:t>
      </w:r>
      <w:r w:rsidRPr="009C7857">
        <w:rPr>
          <w:rFonts w:asciiTheme="majorBidi" w:hAnsiTheme="majorBidi" w:cstheme="majorBidi"/>
          <w:b/>
          <w:bCs/>
          <w:color w:val="000000"/>
          <w:sz w:val="20"/>
          <w:szCs w:val="20"/>
          <w:rtl/>
        </w:rPr>
        <w:t xml:space="preserve">وكان إبرام  -كلمة إبرام يعني إبراهيم- ابن ست وثمانين سنة لما ولدت هاجر إسماعيل لإبرام". </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color w:val="000000"/>
          <w:sz w:val="20"/>
          <w:szCs w:val="20"/>
          <w:rtl/>
        </w:rPr>
        <w:t xml:space="preserve">وفي سفر التكوين الإصحاح الحادي والعشرون الفقرة الخامسة: </w:t>
      </w:r>
      <w:r w:rsidRPr="009C7857">
        <w:rPr>
          <w:rFonts w:asciiTheme="majorBidi" w:hAnsiTheme="majorBidi" w:cstheme="majorBidi"/>
          <w:b/>
          <w:bCs/>
          <w:sz w:val="20"/>
          <w:szCs w:val="20"/>
          <w:rtl/>
        </w:rPr>
        <w:t>"وكان إبراهيم ابن مائة سنة حين ولد له إسحاق ابنه"</w:t>
      </w:r>
      <w:r w:rsidRPr="009C7857">
        <w:rPr>
          <w:rFonts w:asciiTheme="majorBidi" w:hAnsiTheme="majorBidi" w:cstheme="majorBidi"/>
          <w:b/>
          <w:bCs/>
          <w:sz w:val="20"/>
          <w:szCs w:val="20"/>
          <w:rtl/>
          <w:lang w:bidi="ar-EG"/>
        </w:rPr>
        <w:t>.</w:t>
      </w:r>
      <w:r w:rsidRPr="009C7857">
        <w:rPr>
          <w:rFonts w:asciiTheme="majorBidi" w:hAnsiTheme="majorBidi" w:cstheme="majorBidi"/>
          <w:b/>
          <w:bCs/>
          <w:sz w:val="20"/>
          <w:szCs w:val="20"/>
          <w:rtl/>
        </w:rPr>
        <w:t xml:space="preserve"> </w:t>
      </w:r>
    </w:p>
    <w:p w:rsidR="009C7857" w:rsidRPr="009C7857" w:rsidRDefault="009C7857" w:rsidP="009C7857">
      <w:pPr>
        <w:pStyle w:val="a3"/>
        <w:bidi/>
        <w:spacing w:before="0" w:beforeAutospacing="0" w:after="120" w:afterAutospacing="0"/>
        <w:jc w:val="lowKashida"/>
        <w:rPr>
          <w:rFonts w:asciiTheme="majorBidi" w:hAnsiTheme="majorBidi" w:cstheme="majorBidi"/>
          <w:b/>
          <w:bCs/>
          <w:sz w:val="20"/>
          <w:szCs w:val="20"/>
          <w:rtl/>
        </w:rPr>
      </w:pPr>
      <w:r w:rsidRPr="009C7857">
        <w:rPr>
          <w:rFonts w:asciiTheme="majorBidi" w:hAnsiTheme="majorBidi" w:cstheme="majorBidi"/>
          <w:b/>
          <w:bCs/>
          <w:sz w:val="20"/>
          <w:szCs w:val="20"/>
          <w:rtl/>
        </w:rPr>
        <w:t>وأيضًا عبارة أخرى: "ورأت سارة ابن هاجر المصرية الذي ولدته لإبراهيم يمرح، فقالت لإبراهيم: اطرد هذه الجارية وابنها؛ لأن ابن هذه الجارية لا يرث مع ابني اسحق، فقبح الكلام جدَّا في عيني إبراهيم لسبب ابنه، فقال الله لإبراهيم: لا يقبح في عينيك من أجل الغلام ومن أجل جاريتك في كل ما تقول سارة اسمع لقولها؛ لأنه بإسح</w:t>
      </w:r>
      <w:r w:rsidRPr="009C7857">
        <w:rPr>
          <w:rFonts w:asciiTheme="majorBidi" w:hAnsiTheme="majorBidi" w:cstheme="majorBidi"/>
          <w:b/>
          <w:bCs/>
          <w:sz w:val="20"/>
          <w:szCs w:val="20"/>
          <w:rtl/>
          <w:lang w:bidi="ar-EG"/>
        </w:rPr>
        <w:t>ا</w:t>
      </w:r>
      <w:r w:rsidRPr="009C7857">
        <w:rPr>
          <w:rFonts w:asciiTheme="majorBidi" w:hAnsiTheme="majorBidi" w:cstheme="majorBidi"/>
          <w:b/>
          <w:bCs/>
          <w:sz w:val="20"/>
          <w:szCs w:val="20"/>
          <w:rtl/>
        </w:rPr>
        <w:t>ق يدعى لك نسل وابن الجارية أيضًا سأجعله أمة لأنه نسلك".. إلى آخر القصة.</w:t>
      </w:r>
    </w:p>
    <w:p w:rsidR="009A00C5" w:rsidRDefault="009A00C5" w:rsidP="009C7857">
      <w:pPr>
        <w:spacing w:after="120" w:line="240" w:lineRule="auto"/>
        <w:jc w:val="center"/>
        <w:rPr>
          <w:rFonts w:asciiTheme="majorBidi" w:hAnsiTheme="majorBidi" w:cstheme="majorBidi"/>
          <w:b/>
          <w:bCs/>
          <w:sz w:val="20"/>
          <w:szCs w:val="20"/>
          <w:rtl/>
        </w:rPr>
      </w:pPr>
    </w:p>
    <w:p w:rsidR="009A00C5" w:rsidRDefault="009A00C5" w:rsidP="009C7857">
      <w:pPr>
        <w:spacing w:after="120" w:line="240" w:lineRule="auto"/>
        <w:jc w:val="center"/>
        <w:rPr>
          <w:rFonts w:asciiTheme="majorBidi" w:hAnsiTheme="majorBidi" w:cstheme="majorBidi"/>
          <w:b/>
          <w:bCs/>
          <w:sz w:val="20"/>
          <w:szCs w:val="20"/>
          <w:rtl/>
        </w:rPr>
      </w:pPr>
    </w:p>
    <w:p w:rsidR="009A00C5" w:rsidRDefault="009A00C5" w:rsidP="009C7857">
      <w:pPr>
        <w:spacing w:after="120" w:line="240" w:lineRule="auto"/>
        <w:jc w:val="center"/>
        <w:rPr>
          <w:rFonts w:asciiTheme="majorBidi" w:hAnsiTheme="majorBidi" w:cstheme="majorBidi"/>
          <w:b/>
          <w:bCs/>
          <w:sz w:val="20"/>
          <w:szCs w:val="20"/>
          <w:rtl/>
        </w:rPr>
      </w:pPr>
    </w:p>
    <w:p w:rsidR="009A00C5" w:rsidRDefault="009A00C5" w:rsidP="009C7857">
      <w:pPr>
        <w:spacing w:after="120" w:line="240" w:lineRule="auto"/>
        <w:jc w:val="center"/>
        <w:rPr>
          <w:rFonts w:asciiTheme="majorBidi" w:hAnsiTheme="majorBidi" w:cstheme="majorBidi"/>
          <w:b/>
          <w:bCs/>
          <w:sz w:val="20"/>
          <w:szCs w:val="20"/>
          <w:rtl/>
        </w:rPr>
      </w:pPr>
    </w:p>
    <w:p w:rsidR="009A00C5" w:rsidRDefault="009A00C5" w:rsidP="009C7857">
      <w:pPr>
        <w:spacing w:after="120" w:line="240" w:lineRule="auto"/>
        <w:jc w:val="center"/>
        <w:rPr>
          <w:rFonts w:asciiTheme="majorBidi" w:hAnsiTheme="majorBidi" w:cstheme="majorBidi"/>
          <w:b/>
          <w:bCs/>
          <w:sz w:val="20"/>
          <w:szCs w:val="20"/>
          <w:rtl/>
        </w:rPr>
      </w:pPr>
    </w:p>
    <w:p w:rsidR="009A00C5" w:rsidRDefault="009A00C5" w:rsidP="009C7857">
      <w:pPr>
        <w:spacing w:after="120" w:line="240" w:lineRule="auto"/>
        <w:jc w:val="center"/>
        <w:rPr>
          <w:rFonts w:asciiTheme="majorBidi" w:hAnsiTheme="majorBidi" w:cstheme="majorBidi"/>
          <w:b/>
          <w:bCs/>
          <w:sz w:val="20"/>
          <w:szCs w:val="20"/>
          <w:rtl/>
        </w:rPr>
      </w:pPr>
    </w:p>
    <w:p w:rsidR="009A00C5" w:rsidRDefault="009A00C5" w:rsidP="009C7857">
      <w:pPr>
        <w:spacing w:after="120" w:line="240" w:lineRule="auto"/>
        <w:jc w:val="center"/>
        <w:rPr>
          <w:rFonts w:asciiTheme="majorBidi" w:hAnsiTheme="majorBidi" w:cstheme="majorBidi"/>
          <w:b/>
          <w:bCs/>
          <w:sz w:val="20"/>
          <w:szCs w:val="20"/>
          <w:rtl/>
        </w:rPr>
      </w:pPr>
    </w:p>
    <w:p w:rsidR="009C7857" w:rsidRPr="009C7857" w:rsidRDefault="009C7857" w:rsidP="009C7857">
      <w:pPr>
        <w:spacing w:after="120" w:line="240" w:lineRule="auto"/>
        <w:jc w:val="center"/>
        <w:rPr>
          <w:rFonts w:asciiTheme="majorBidi" w:hAnsiTheme="majorBidi" w:cstheme="majorBidi"/>
          <w:b/>
          <w:bCs/>
          <w:sz w:val="20"/>
          <w:szCs w:val="20"/>
          <w:rtl/>
        </w:rPr>
      </w:pPr>
      <w:r w:rsidRPr="009C7857">
        <w:rPr>
          <w:rFonts w:asciiTheme="majorBidi" w:hAnsiTheme="majorBidi" w:cstheme="majorBidi"/>
          <w:b/>
          <w:bCs/>
          <w:sz w:val="20"/>
          <w:szCs w:val="20"/>
          <w:rtl/>
        </w:rPr>
        <w:t>المصادر والمراجع</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tl/>
        </w:rPr>
      </w:pPr>
      <w:r w:rsidRPr="009C7857">
        <w:rPr>
          <w:rFonts w:asciiTheme="majorBidi" w:hAnsiTheme="majorBidi" w:cstheme="majorBidi"/>
          <w:b/>
          <w:bCs/>
          <w:sz w:val="20"/>
          <w:szCs w:val="20"/>
          <w:rtl/>
        </w:rPr>
        <w:t>المحمدي عبد الرحمن، (الدخيل في التفسير) ، القاهرة،  جامعة الأزهر، مطبعة حسان، 2009م.</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tl/>
        </w:rPr>
      </w:pPr>
      <w:r w:rsidRPr="009C7857">
        <w:rPr>
          <w:rFonts w:asciiTheme="majorBidi" w:hAnsiTheme="majorBidi" w:cstheme="majorBidi"/>
          <w:b/>
          <w:bCs/>
          <w:sz w:val="20"/>
          <w:szCs w:val="20"/>
          <w:rtl/>
        </w:rPr>
        <w:lastRenderedPageBreak/>
        <w:t>الذهبي، محمد حسين الذهبي،  (التفسير والمفسرون) ، طبعة دار الأرقم، 1999م.</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Pr>
      </w:pPr>
      <w:r w:rsidRPr="009C7857">
        <w:rPr>
          <w:rFonts w:asciiTheme="majorBidi" w:hAnsiTheme="majorBidi" w:cstheme="majorBidi"/>
          <w:b/>
          <w:bCs/>
          <w:sz w:val="20"/>
          <w:szCs w:val="20"/>
          <w:rtl/>
        </w:rPr>
        <w:t>الذهبي، محمد حسين الذهبي،  (الإسرائيليات في التفسير والحديث) ، طبعة مكتبة وهبة، 1990م.</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Pr>
      </w:pPr>
      <w:r w:rsidRPr="009C7857">
        <w:rPr>
          <w:rFonts w:asciiTheme="majorBidi" w:hAnsiTheme="majorBidi" w:cstheme="majorBidi"/>
          <w:b/>
          <w:bCs/>
          <w:sz w:val="20"/>
          <w:szCs w:val="20"/>
          <w:rtl/>
        </w:rPr>
        <w:t xml:space="preserve">شليوه، سمير شليوه،  (الدخيل والإسرائيليات) ، القاهرة، جامعة الأزهر </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Pr>
      </w:pPr>
      <w:r w:rsidRPr="009C7857">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Pr>
      </w:pPr>
      <w:r w:rsidRPr="009C7857">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Pr>
      </w:pPr>
      <w:r w:rsidRPr="009C7857">
        <w:rPr>
          <w:rFonts w:asciiTheme="majorBidi" w:hAnsiTheme="majorBidi" w:cstheme="majorBidi"/>
          <w:b/>
          <w:bCs/>
          <w:sz w:val="20"/>
          <w:szCs w:val="20"/>
          <w:rtl/>
        </w:rPr>
        <w:t>الشهرستاني، محمد بن عبد الكريم الشهرستاني،  (الملل والنحل) ، طبعة دار الفكر، 2001م.</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Pr>
      </w:pPr>
      <w:r w:rsidRPr="009C7857">
        <w:rPr>
          <w:rFonts w:asciiTheme="majorBidi" w:hAnsiTheme="majorBidi" w:cstheme="majorBidi"/>
          <w:b/>
          <w:bCs/>
          <w:sz w:val="20"/>
          <w:szCs w:val="20"/>
          <w:rtl/>
        </w:rPr>
        <w:t>محمد الخضر حسين، (البابية أو البهائية) ،مجمع البحوث الإسلامية</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Pr>
      </w:pPr>
      <w:r w:rsidRPr="009C7857">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Pr>
      </w:pPr>
      <w:r w:rsidRPr="009C7857">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tl/>
        </w:rPr>
      </w:pPr>
      <w:r w:rsidRPr="009C7857">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9C7857" w:rsidRPr="009C7857" w:rsidRDefault="009C7857" w:rsidP="009C7857">
      <w:pPr>
        <w:numPr>
          <w:ilvl w:val="0"/>
          <w:numId w:val="2"/>
        </w:numPr>
        <w:spacing w:after="120" w:line="240" w:lineRule="auto"/>
        <w:jc w:val="both"/>
        <w:rPr>
          <w:rFonts w:asciiTheme="majorBidi" w:hAnsiTheme="majorBidi" w:cstheme="majorBidi"/>
          <w:b/>
          <w:bCs/>
          <w:sz w:val="20"/>
          <w:szCs w:val="20"/>
        </w:rPr>
      </w:pPr>
      <w:r w:rsidRPr="009C7857">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9C7857" w:rsidRPr="009C7857" w:rsidRDefault="009C7857" w:rsidP="009C7857">
      <w:pPr>
        <w:spacing w:after="120" w:line="240" w:lineRule="auto"/>
        <w:ind w:left="510"/>
        <w:jc w:val="both"/>
        <w:rPr>
          <w:rFonts w:asciiTheme="majorBidi" w:hAnsiTheme="majorBidi" w:cstheme="majorBidi"/>
          <w:b/>
          <w:bCs/>
          <w:sz w:val="20"/>
          <w:szCs w:val="20"/>
          <w:rtl/>
        </w:rPr>
      </w:pPr>
    </w:p>
    <w:p w:rsidR="009C7857" w:rsidRDefault="009C7857" w:rsidP="009C7857">
      <w:pPr>
        <w:pStyle w:val="a3"/>
        <w:bidi/>
        <w:spacing w:before="0" w:beforeAutospacing="0" w:after="120" w:afterAutospacing="0" w:line="500" w:lineRule="exact"/>
        <w:rPr>
          <w:rFonts w:asciiTheme="majorBidi" w:hAnsiTheme="majorBidi" w:cstheme="majorBidi"/>
          <w:sz w:val="32"/>
          <w:szCs w:val="32"/>
          <w:rtl/>
        </w:rPr>
        <w:sectPr w:rsidR="009C7857" w:rsidSect="009C7857">
          <w:type w:val="continuous"/>
          <w:pgSz w:w="11906" w:h="16838"/>
          <w:pgMar w:top="964" w:right="1021" w:bottom="964" w:left="1021" w:header="709" w:footer="709" w:gutter="0"/>
          <w:cols w:num="2" w:space="708"/>
          <w:bidi/>
          <w:rtlGutter/>
          <w:docGrid w:linePitch="360"/>
        </w:sectPr>
      </w:pPr>
    </w:p>
    <w:p w:rsidR="009C7857" w:rsidRPr="00C048F2" w:rsidRDefault="009C7857" w:rsidP="009C7857">
      <w:pPr>
        <w:pStyle w:val="a3"/>
        <w:bidi/>
        <w:spacing w:before="0" w:beforeAutospacing="0" w:after="120" w:afterAutospacing="0" w:line="500" w:lineRule="exact"/>
        <w:rPr>
          <w:rFonts w:asciiTheme="majorBidi" w:hAnsiTheme="majorBidi" w:cstheme="majorBidi"/>
          <w:sz w:val="32"/>
          <w:szCs w:val="32"/>
          <w:rtl/>
        </w:rPr>
      </w:pPr>
    </w:p>
    <w:p w:rsidR="009C7857" w:rsidRPr="009C7857" w:rsidRDefault="009C7857" w:rsidP="009C7857">
      <w:pPr>
        <w:jc w:val="center"/>
        <w:rPr>
          <w:i/>
          <w:iCs/>
        </w:rPr>
      </w:pPr>
    </w:p>
    <w:sectPr w:rsidR="009C7857" w:rsidRPr="009C7857" w:rsidSect="009C785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GA Rasheeq Bold">
    <w:panose1 w:val="00000000000000000000"/>
    <w:charset w:val="B2"/>
    <w:family w:val="auto"/>
    <w:pitch w:val="variable"/>
    <w:sig w:usb0="00002001" w:usb1="00000000" w:usb2="00000000" w:usb3="00000000" w:csb0="00000040" w:csb1="00000000"/>
  </w:font>
  <w:font w:name="SC_ALYERMOOK">
    <w:panose1 w:val="00000000000000000000"/>
    <w:charset w:val="B2"/>
    <w:family w:val="auto"/>
    <w:pitch w:val="variable"/>
    <w:sig w:usb0="00002001" w:usb1="00000000" w:usb2="00000000" w:usb3="00000000" w:csb0="0000004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449">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45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8B0A665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9C7857"/>
    <w:rsid w:val="003B2CC8"/>
    <w:rsid w:val="003E3595"/>
    <w:rsid w:val="00514443"/>
    <w:rsid w:val="009556CB"/>
    <w:rsid w:val="009A00C5"/>
    <w:rsid w:val="009C7857"/>
    <w:rsid w:val="00BD6104"/>
    <w:rsid w:val="00BF7572"/>
    <w:rsid w:val="00EF703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9C7857"/>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9C785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C785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5821</Characters>
  <Application>Microsoft Office Word</Application>
  <DocSecurity>0</DocSecurity>
  <Lines>48</Lines>
  <Paragraphs>13</Paragraphs>
  <ScaleCrop>false</ScaleCrop>
  <Company/>
  <LinksUpToDate>false</LinksUpToDate>
  <CharactersWithSpaces>6829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2013-06-19T12:43:00Z</dcterms:created>
  <dcterms:modified xsi:type="dcterms:W3CDTF">2013-06-26T08:35:00Z</dcterms:modified>
</cp:coreProperties>
</file>