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C6254D" w:rsidP="00C6254D">
      <w:pPr>
        <w:spacing w:line="240" w:lineRule="auto"/>
        <w:jc w:val="center"/>
        <w:rPr>
          <w:i/>
          <w:iCs/>
          <w:rtl/>
        </w:rPr>
      </w:pPr>
      <w:r w:rsidRPr="00C6254D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قصة عصا موسى</w:t>
      </w:r>
      <w:r w:rsidRPr="00C6254D">
        <w:rPr>
          <w:rFonts w:ascii="Calibri" w:eastAsia="Calibri" w:hAnsi="Calibri" w:cs="AGA Rasheeq Bold" w:hint="cs"/>
          <w:i/>
          <w:iCs/>
          <w:sz w:val="28"/>
          <w:szCs w:val="28"/>
          <w:rtl/>
        </w:rPr>
        <w:t xml:space="preserve"> </w:t>
      </w:r>
      <w:r w:rsidRPr="00C6254D">
        <w:rPr>
          <w:rFonts w:ascii="Calibri" w:eastAsia="Calibri" w:hAnsi="Calibri" w:cs="SC_ALYERMOOK" w:hint="cs"/>
          <w:i/>
          <w:iCs/>
          <w:position w:val="-4"/>
          <w:sz w:val="48"/>
          <w:szCs w:val="48"/>
          <w:rtl/>
        </w:rPr>
        <w:t>#</w:t>
      </w:r>
      <w:r w:rsidRPr="00C6254D">
        <w:rPr>
          <w:rFonts w:ascii="Calibri" w:eastAsia="Calibri" w:hAnsi="Calibri" w:cs="AGA Rasheeq Bold" w:hint="cs"/>
          <w:i/>
          <w:iCs/>
          <w:sz w:val="48"/>
          <w:szCs w:val="48"/>
          <w:rtl/>
        </w:rPr>
        <w:t xml:space="preserve">، </w:t>
      </w:r>
      <w:r w:rsidRPr="00C6254D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وقضية الأجلين</w:t>
      </w:r>
    </w:p>
    <w:p w:rsidR="00C6254D" w:rsidRPr="009264EA" w:rsidRDefault="00C6254D" w:rsidP="00C6254D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</w:t>
      </w:r>
      <w:proofErr w:type="spellStart"/>
      <w:r w:rsidRPr="009264EA">
        <w:rPr>
          <w:i/>
          <w:iCs/>
          <w:rtl/>
        </w:rPr>
        <w:t>فى</w:t>
      </w:r>
      <w:proofErr w:type="spellEnd"/>
      <w:r w:rsidRPr="009264EA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الدخيل </w:t>
      </w:r>
      <w:proofErr w:type="spellStart"/>
      <w:r>
        <w:rPr>
          <w:rFonts w:hint="cs"/>
          <w:i/>
          <w:iCs/>
          <w:rtl/>
        </w:rPr>
        <w:t>فى</w:t>
      </w:r>
      <w:proofErr w:type="spellEnd"/>
      <w:r>
        <w:rPr>
          <w:rFonts w:hint="cs"/>
          <w:i/>
          <w:iCs/>
          <w:rtl/>
        </w:rPr>
        <w:t xml:space="preserve"> التفسير</w:t>
      </w:r>
    </w:p>
    <w:p w:rsidR="00C6254D" w:rsidRPr="009264EA" w:rsidRDefault="00C6254D" w:rsidP="00635349">
      <w:pPr>
        <w:pStyle w:val="papersubtitle"/>
        <w:bidi/>
        <w:rPr>
          <w:i/>
          <w:iCs/>
          <w:sz w:val="24"/>
          <w:szCs w:val="24"/>
          <w:lang w:bidi="ar-EG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635349" w:rsidRPr="00635349">
        <w:rPr>
          <w:i/>
          <w:iCs/>
          <w:sz w:val="22"/>
          <w:szCs w:val="22"/>
          <w:rtl/>
          <w:lang w:bidi="ar-EG"/>
        </w:rPr>
        <w:t>محمد سعد حسن</w:t>
      </w:r>
    </w:p>
    <w:p w:rsidR="00C6254D" w:rsidRPr="009264EA" w:rsidRDefault="00C6254D" w:rsidP="00C6254D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C6254D" w:rsidRPr="009264EA" w:rsidRDefault="00C6254D" w:rsidP="00C6254D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C6254D" w:rsidRPr="009264EA" w:rsidRDefault="00C6254D" w:rsidP="00C6254D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C6254D" w:rsidRDefault="00635349" w:rsidP="00C6254D">
      <w:pPr>
        <w:spacing w:line="240" w:lineRule="auto"/>
        <w:jc w:val="center"/>
        <w:rPr>
          <w:rFonts w:ascii="Calibri" w:hAnsi="Calibri" w:cs="AL-Mateen"/>
          <w:sz w:val="32"/>
          <w:szCs w:val="32"/>
          <w:lang w:bidi="ar-EG"/>
        </w:rPr>
      </w:pPr>
      <w:r w:rsidRPr="00635349">
        <w:rPr>
          <w:rFonts w:asciiTheme="majorBidi" w:hAnsiTheme="majorBidi" w:cs="AL-Hotham"/>
          <w:i/>
          <w:iCs/>
          <w:lang w:bidi="ar-EG"/>
        </w:rPr>
        <w:t>mohamad.saad@mediu.ws</w:t>
      </w:r>
    </w:p>
    <w:p w:rsidR="00C6254D" w:rsidRDefault="00C6254D" w:rsidP="00C6254D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C6254D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C6254D" w:rsidRPr="00C6254D" w:rsidRDefault="00C6254D" w:rsidP="00C6254D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C6254D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قصة عصا موسى </w:t>
      </w:r>
      <w:r w:rsidRPr="00C6254D">
        <w:rPr>
          <w:rFonts w:asciiTheme="majorBidi" w:eastAsia="Calibr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، وقضية الأجلين</w:t>
      </w:r>
    </w:p>
    <w:p w:rsidR="00C6254D" w:rsidRPr="00C6254D" w:rsidRDefault="00C6254D" w:rsidP="00C6254D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الكلمات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المفتاحية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: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الكتب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الروايات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C6254D" w:rsidRPr="00C6254D" w:rsidRDefault="00C6254D" w:rsidP="00C6254D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C6254D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قصة عصا موسى </w:t>
      </w:r>
      <w:r w:rsidRPr="00C6254D">
        <w:rPr>
          <w:rFonts w:asciiTheme="majorBidi" w:eastAsia="Calibr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، وقضية الأجلين</w:t>
      </w:r>
    </w:p>
    <w:p w:rsidR="00C6254D" w:rsidRPr="00C6254D" w:rsidRDefault="00C6254D" w:rsidP="00C6254D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الحمد لله رب العالمين، وصلى الله على سيدنا محمد وعلى آله وصحبه أجمعين، وبعد: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نذكر أن كتب التفسير التي عُنيت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بالإسرائيليات، أو ذكرتها سواء بحسن قصد أو بعدم تعمد، ابن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جرير الطبري (معالم التنزيل)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للبغوي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(لباب التنزيل) للخازن،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ابن كثير القرطبي، أبو السعود،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 هذه الكتب مع أن ابن كثير من أميزها وأفضلها؛ إذ أنه عقَّب على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كثير مما ذكر، ومحَّص كثيرًا من الروايات إلا أن أكثر ما ورد في هذه الكتب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لا يزال يحتاج إلى تنقية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وردت روايات بشأن العصا مع صِهر موسى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ورد في تفسير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: أن موسى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هو الذي أخذ العصا بعدما ردَّها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سبع مرات، وأن هذه العصا توارثها الأنبياء حتى وصلت إلى شعيب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فكان مكفوفَ البصر فلما مسَّها هداه الله وأكرمه الله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بها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، وأنه ضَنَّ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بها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وفي رواية الطبري: أن العصا استودعها ملِك في صورة رجل عند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شعيب، وأن الذي أعطى موسى العصا ابنة شعيب، وفي رواية أخرى للطبري: أن العصا هي التي طارت إلى موسى، وليس موسى ولا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ابنة شعيب أخذها أو أعطتها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له، وهي رواية مقاتل عند الثعلبي في قصصه. وهناك رواية أخرى ثالثة عند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الطبري: أن الذي أعطى العصا لموسى هو جبريل، ولا شك أن تناقض هذه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الروايات واختلافها يدل على بطلانها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C6254D" w:rsidRPr="00C6254D" w:rsidRDefault="00C6254D" w:rsidP="00C6254D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C6254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الرد على ذلك: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إن إبطال هذه الروايات يتأتى من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وجوه: هذه الروايات كلها ضعيفة، فرواية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عن طريق محمد بن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السائب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الكلبي وهو معروف بالضعف، ورواية الطبري الأولى من طريق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السدي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وهو ضعيف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أيضًا، والروايات الأخرى تأتي عن طريقهما، وهذان الراويان مشهوران برواية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الإسرائيليات، كما أن رواية الإمام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ذكرت أن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شعيبًا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كان مكفوفًا، وفي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هذا وصف للأنبياء بما لا يليق بهم؛ إذ إن العمى نقص بشري، والأنبياء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منزهون عن كل نقص بشري؛ لأنهم يرسلون إلى الناس، ولا بد أن يكونوا مع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الفطانة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 والتبليغ، والصدق، والأمانة يكون شكلهم مقبولًا وطيبًا، لا يقدح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في أداء رسالتهم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لقد ورد في رواية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أن موسى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عرف قيمة العصا، وجاء في تفسير قوله تعالى</w:t>
      </w:r>
      <w:r w:rsidRPr="00C6254D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ﮇ ﮈ ﮉ ﮊ</w:t>
      </w:r>
      <w:r w:rsidRPr="00C6254D">
        <w:rPr>
          <w:rFonts w:ascii="QCF_P313" w:hAnsi="QCF_P313" w:cs="DecoType Thuluth"/>
          <w:color w:val="008000"/>
          <w:sz w:val="20"/>
          <w:szCs w:val="20"/>
          <w:rtl/>
        </w:rPr>
        <w:t>}</w:t>
      </w:r>
      <w:r w:rsidRPr="00C6254D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[طه: 18]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أن موسى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لما ذكر بعض المآرب شكرًا أجمل الباقي؛ حياءً من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التطويل، أو ليسأل عنها الملك العلام فيزيد في الإكرام، والمآرب الأخرى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أنها كانت تماشيه، وتحدثه، وتحارب العدو والسباع، وتصير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رِشاء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فتطول بطول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البئر أي: كالحبل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lastRenderedPageBreak/>
        <w:t xml:space="preserve">الذي يُنزل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به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الدلو ليملأ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به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الماء، وتصير شعبتاها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دلوًا، وتكونان شمعتين بالليل وتحمل زاده ويركزها،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فتثمر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ثمرة يشتهيها،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ويركزها فينبع الماء، فإذا رفعها نضب، وكانت تقيه الهوامّ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هذا تكلف صعب وتعسف بالغ الشدة، إذ لو كانت كذلك</w:t>
      </w:r>
      <w:r w:rsidRPr="00C6254D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 xml:space="preserve">لما استنكر موسى </w:t>
      </w:r>
      <w:r w:rsidRPr="00C6254D">
        <w:rPr>
          <w:rFonts w:asciiTheme="majorBidi" w:hAnsiTheme="majorBidi" w:cstheme="majorBidi"/>
          <w:b/>
          <w:bCs/>
          <w:spacing w:val="-4"/>
          <w:position w:val="-4"/>
          <w:sz w:val="20"/>
          <w:szCs w:val="20"/>
          <w:rtl/>
          <w:lang w:bidi="ar-EG"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صيرورتها ثعبانًا، أو حيةً تسعى، أو جانًّا كما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كان يفرّ منها هاربًا، ويولي مُدبرًا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إذًا فكل ذلك من الإسرائيليات المنقولة عن أهل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الأخبار والقصص، وكذا قولهم: أن العصا كانت لآدم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أو أعطاه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إيَّاه جبريل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وأيضًا بينما ذكره الإمام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في شأن العصا،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وبين ما جاء في القرآن الكريم تناقض واضح، ففي قوله تعالى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C6254D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ﭹ ﭺ ﭻ ﭼ ﭽ</w:t>
      </w:r>
      <w:r w:rsidRPr="00C6254D">
        <w:rPr>
          <w:rFonts w:ascii="QCF_BSML" w:hAnsi="QCF_BSML" w:cs="QCF_BSML" w:hint="cs"/>
          <w:color w:val="008000"/>
          <w:sz w:val="20"/>
          <w:szCs w:val="20"/>
          <w:rtl/>
        </w:rPr>
        <w:t xml:space="preserve"> 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ﭾ ﭿ ﮀ ﮁ ﮂ ﮃ ﮄ ﮅ ﮆ ﮇ ﮈ ﮉ ﮊ ﮋ</w:t>
      </w:r>
      <w:r w:rsidRPr="00C6254D">
        <w:rPr>
          <w:rFonts w:ascii="QCF_BSML" w:hAnsi="QCF_BSML" w:cs="QCF_BSML" w:hint="cs"/>
          <w:color w:val="008000"/>
          <w:sz w:val="20"/>
          <w:szCs w:val="20"/>
          <w:rtl/>
        </w:rPr>
        <w:t xml:space="preserve"> 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ﮌ ﮍ ﮎ ﮏ</w:t>
      </w:r>
      <w:r w:rsidRPr="00C6254D">
        <w:rPr>
          <w:rFonts w:ascii="QCF_BSML" w:hAnsi="QCF_BSML" w:cs="QCF_BSML" w:hint="cs"/>
          <w:color w:val="008000"/>
          <w:sz w:val="20"/>
          <w:szCs w:val="20"/>
          <w:rtl/>
        </w:rPr>
        <w:t xml:space="preserve"> 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ﮐ ﮑ ﮒ ﮓ ﮔ ﮕ</w:t>
      </w:r>
      <w:r w:rsidRPr="00C6254D">
        <w:rPr>
          <w:rFonts w:ascii="QCF_BSML" w:hAnsi="QCF_BSML" w:cs="QCF_BSML" w:hint="cs"/>
          <w:color w:val="008000"/>
          <w:sz w:val="20"/>
          <w:szCs w:val="20"/>
          <w:rtl/>
        </w:rPr>
        <w:t xml:space="preserve"> 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ﮖ ﮗ ﮘ ﮙ ﮚ ﮛ ﮜ ﮝ ﮞ</w:t>
      </w:r>
      <w:r w:rsidRPr="00C6254D">
        <w:rPr>
          <w:rFonts w:ascii="QCF_BSML" w:hAnsi="QCF_BSML" w:cs="QCF_BSML" w:hint="cs"/>
          <w:color w:val="008000"/>
          <w:sz w:val="20"/>
          <w:szCs w:val="20"/>
          <w:rtl/>
        </w:rPr>
        <w:t xml:space="preserve"> 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ﮟ ﮠ ﮡ ﮢ ﮣ ﮤ ﮥ ﮦ ﮧ ﮨ ﮩ ﮪ</w:t>
      </w:r>
      <w:r w:rsidRPr="00C6254D">
        <w:rPr>
          <w:rFonts w:ascii="QCF_P313" w:hAnsi="QCF_P313" w:cs="QCF_P313" w:hint="cs"/>
          <w:color w:val="008000"/>
          <w:sz w:val="20"/>
          <w:szCs w:val="20"/>
          <w:rtl/>
        </w:rPr>
        <w:t xml:space="preserve"> </w:t>
      </w:r>
      <w:r w:rsidRPr="00C6254D">
        <w:rPr>
          <w:rFonts w:ascii="QCF_P313" w:hAnsi="QCF_P313" w:cs="QCF_P313"/>
          <w:color w:val="008000"/>
          <w:sz w:val="20"/>
          <w:szCs w:val="20"/>
          <w:rtl/>
        </w:rPr>
        <w:t>ﮫ ﮬ ﮭ ﮮ</w:t>
      </w:r>
      <w:r w:rsidRPr="00C6254D">
        <w:rPr>
          <w:rFonts w:ascii="QCF_P313" w:hAnsi="QCF_P313" w:cs="DecoType Thuluth"/>
          <w:color w:val="008000"/>
          <w:sz w:val="20"/>
          <w:szCs w:val="20"/>
          <w:rtl/>
        </w:rPr>
        <w:t>}</w:t>
      </w:r>
      <w:r w:rsidRPr="00C6254D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[طه: 17- 23] تدل هذه الآيات على أن موسى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لم يكن يعرف ما في العصا من أسرار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وإنما عَرَف ذلك بعدما ألقاها بأمر ربه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ولما تحولت إلى حية تسعى خاف منها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فأمَّنه الله. 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وكون العصا آية من آيات الله الكبرى يبطل كل ما ذكر فيها من روايات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فإن العصا عصى عادية تمامًا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وليست كما صوروا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وقد صوروها ووصفوها بكل هذه الأوصاف التي لا تُتصوَّر قبل أن يوحى إلى موسى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وكانت العصا آية ومعجزة لموسى بعد الوحي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كما أن هناك فرقًا بين المقامين كما جاء في حال موسى والعصا في سورة "النمل" و"القصص".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قال الإمام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في المآرب: إن العصا شعبتاها تكونان شمعتين بالليل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فإذا كان الأمر كذلك فلماذا قال موسى لأهله: </w:t>
      </w:r>
      <w:r w:rsidRPr="00C6254D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C6254D">
        <w:rPr>
          <w:rFonts w:ascii="QCF_P389" w:hAnsi="QCF_P389" w:cs="QCF_P389"/>
          <w:color w:val="008000"/>
          <w:sz w:val="20"/>
          <w:szCs w:val="20"/>
          <w:rtl/>
        </w:rPr>
        <w:t xml:space="preserve"> ﭟ ﭠ ﭡ ﭢ ﭣ ﭤ ﭥ ﭦ ﭧ ﭨ ﭩ ﭪ ﭫ ﭬ</w:t>
      </w:r>
      <w:r w:rsidRPr="00C6254D">
        <w:rPr>
          <w:rFonts w:ascii="Tahoma" w:hAnsi="Tahoma" w:cs="DecoType Thuluth" w:hint="cs"/>
          <w:color w:val="008000"/>
          <w:sz w:val="20"/>
          <w:szCs w:val="20"/>
          <w:rtl/>
        </w:rPr>
        <w:t>}</w:t>
      </w:r>
      <w:r w:rsidRPr="00C6254D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[القصص: 29].</w:t>
      </w:r>
    </w:p>
    <w:p w:rsidR="00C6254D" w:rsidRPr="00C6254D" w:rsidRDefault="00C6254D" w:rsidP="00C6254D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C6254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 xml:space="preserve">قضية الأجلين: 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الذي يظهر من نص القرآن الكريم أن موسى قضى أبعد الأجلين عشر سنين عند صهره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وهذا ما تدلّ عليه الآية: </w:t>
      </w:r>
      <w:r w:rsidRPr="00C6254D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C6254D">
        <w:rPr>
          <w:rFonts w:ascii="QCF_P389" w:hAnsi="QCF_P389" w:cs="QCF_P389"/>
          <w:color w:val="008000"/>
          <w:sz w:val="20"/>
          <w:szCs w:val="20"/>
          <w:rtl/>
        </w:rPr>
        <w:t>ﭒ ﭓ ﭔ ﭕ ﭖ ﭗ ﭘ ﭙ ﭚ ﭛ ﭜ</w:t>
      </w:r>
      <w:r w:rsidRPr="00C6254D">
        <w:rPr>
          <w:rFonts w:ascii="QCF_P389" w:hAnsi="QCF_P389" w:cs="DecoType Thuluth"/>
          <w:color w:val="008000"/>
          <w:sz w:val="20"/>
          <w:szCs w:val="20"/>
          <w:rtl/>
        </w:rPr>
        <w:t>}</w:t>
      </w:r>
      <w:r w:rsidRPr="00C6254D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[القصص: 29]، ذكرت الآية هذا الكلام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وعُطفت بالفاء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والفاء للترتيب والتعقيب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يعني: عقب انقضاء الأجل سار موسى لأهله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وقد ذُكرت فيه أخبار موقوفة على ابن عباس تدل على هذا. أما ما ذكره الإمام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النسفي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عن وهب بن منبه قال: لبث موسى عند شعيب ثمانية وعشرين سنة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عشر منها نهر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بصافوراء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وأقام عنده ثماني عشرة سنة بعدها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حتى ولد له أولاد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فهو ظاهر أنه من الإسرائيليات التي لا حاجة لنا فيها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وليست متطابقة مع النص القرآني.</w:t>
      </w:r>
    </w:p>
    <w:p w:rsidR="00C6254D" w:rsidRPr="00C6254D" w:rsidRDefault="00C6254D" w:rsidP="00C6254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أيّ البنتين تزوج موسى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؟ </w:t>
      </w:r>
    </w:p>
    <w:p w:rsidR="00C6254D" w:rsidRDefault="00C6254D" w:rsidP="00C6254D">
      <w:pPr>
        <w:spacing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وردت الروايات تفيد أن موسى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تزوج من الصغرى لكنها روايات ضعيفة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والأرجح أن موسى </w:t>
      </w:r>
      <w:r w:rsidRPr="00C6254D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تزوج واحدة من ابنتي الشيخ الكبير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والله أعلم أهي الصغرى أم الكبرى؟.</w:t>
      </w:r>
    </w:p>
    <w:p w:rsidR="008972EC" w:rsidRPr="00C6254D" w:rsidRDefault="008972EC" w:rsidP="00C6254D">
      <w:pPr>
        <w:spacing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</w:pPr>
    </w:p>
    <w:p w:rsidR="00C6254D" w:rsidRPr="00C6254D" w:rsidRDefault="00C6254D" w:rsidP="00C6254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المصادر والمراجع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المحمدي عبد الرحمن، (الدخيل في التفسير) ، القاهرة،  جامعة الأزهر، مطبعة حسان، 2009م.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شليوه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سمير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شليوه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 (الدخيل والإسرائيليات) ، القاهرة، جامعة الأزهر 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السيوطي، جلال الدين السيوطي،  (تدريب الراوي في شرح تقريب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النواوي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) ، دار الكتاب العربي للطباعة والنشر 20003م.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الشهرستاني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محمد بن عبد الكريم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الشهرستاني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،  (الملل والنحل) ، طبعة دار الفكر، 2001م.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البابية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أو البهائية) ،مجمع البحوث الإسلامية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القاسمي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محمد جمال الدين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القاسمي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(تفسير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القاسمي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المسمى محاسن التأويل) ، طبعة دار إحياء الكتب العربية، 1960م.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الشعراوي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فضيلة الشيخ محمد متولي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الشعراوي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،  (معجزة القرآن) ، القاهرة، طبعة مكتبة أخبار اليوم، 1993م.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الشاطبي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، إبراهيم بن موسى أبو إسحاق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الشاطبي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،  (الموافقات في أصول الشريعة) ، دار الكتب العلمية، 1993م.</w:t>
      </w:r>
    </w:p>
    <w:p w:rsidR="00C6254D" w:rsidRPr="00C6254D" w:rsidRDefault="00C6254D" w:rsidP="00C6254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الأصفهاني، الراغب الأصفهاني، تحقيق:محمد سيد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كيلاني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(المفردات في غريب القرآن) ، القاهرة، مطبعة مصطفى </w:t>
      </w:r>
      <w:proofErr w:type="spellStart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البابي</w:t>
      </w:r>
      <w:proofErr w:type="spellEnd"/>
      <w:r w:rsidRPr="00C6254D">
        <w:rPr>
          <w:rFonts w:asciiTheme="majorBidi" w:hAnsiTheme="majorBidi" w:cstheme="majorBidi"/>
          <w:b/>
          <w:bCs/>
          <w:sz w:val="20"/>
          <w:szCs w:val="20"/>
          <w:rtl/>
        </w:rPr>
        <w:t>، 1961م.</w:t>
      </w:r>
    </w:p>
    <w:p w:rsidR="00C6254D" w:rsidRPr="00C6254D" w:rsidRDefault="00C6254D" w:rsidP="00C6254D">
      <w:pPr>
        <w:rPr>
          <w:i/>
          <w:iCs/>
          <w:sz w:val="20"/>
          <w:szCs w:val="20"/>
          <w:rtl/>
        </w:rPr>
        <w:sectPr w:rsidR="00C6254D" w:rsidRPr="00C6254D" w:rsidSect="00C6254D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C6254D" w:rsidRPr="00C6254D" w:rsidRDefault="00C6254D" w:rsidP="00C6254D">
      <w:pPr>
        <w:rPr>
          <w:i/>
          <w:iCs/>
          <w:sz w:val="20"/>
          <w:szCs w:val="20"/>
        </w:rPr>
      </w:pPr>
    </w:p>
    <w:sectPr w:rsidR="00C6254D" w:rsidRPr="00C6254D" w:rsidSect="00C6254D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270C6956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6254D"/>
    <w:rsid w:val="000207C1"/>
    <w:rsid w:val="00514443"/>
    <w:rsid w:val="00635349"/>
    <w:rsid w:val="008972EC"/>
    <w:rsid w:val="009556CB"/>
    <w:rsid w:val="00BD6104"/>
    <w:rsid w:val="00BF7572"/>
    <w:rsid w:val="00C6254D"/>
    <w:rsid w:val="00DE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C6254D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C625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2013-06-19T11:08:00Z</dcterms:created>
  <dcterms:modified xsi:type="dcterms:W3CDTF">2013-06-26T08:36:00Z</dcterms:modified>
</cp:coreProperties>
</file>