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F2" w:rsidRDefault="00A60CF2" w:rsidP="00A60CF2">
      <w:pPr>
        <w:spacing w:before="60"/>
        <w:jc w:val="center"/>
        <w:rPr>
          <w:rFonts w:asciiTheme="majorBidi" w:eastAsia="Calibri" w:hAnsiTheme="majorBidi" w:cstheme="majorBidi"/>
          <w:b/>
          <w:bCs/>
          <w:sz w:val="44"/>
          <w:szCs w:val="44"/>
          <w:rtl/>
        </w:rPr>
      </w:pPr>
      <w:r w:rsidRPr="00A60CF2">
        <w:rPr>
          <w:rFonts w:asciiTheme="majorBidi" w:eastAsia="Calibri" w:hAnsiTheme="majorBidi" w:cstheme="majorBidi"/>
          <w:b/>
          <w:bCs/>
          <w:sz w:val="44"/>
          <w:szCs w:val="44"/>
          <w:rtl/>
        </w:rPr>
        <w:t>القول في الصفات كالقول في الذات</w:t>
      </w:r>
    </w:p>
    <w:p w:rsidR="00A60CF2" w:rsidRDefault="00A60CF2" w:rsidP="00A60CF2">
      <w:pPr>
        <w:jc w:val="center"/>
        <w:rPr>
          <w:rFonts w:asciiTheme="majorBidi" w:hAnsiTheme="majorBidi" w:cstheme="majorBidi" w:hint="cs"/>
          <w:b/>
          <w:bCs/>
          <w:i/>
          <w:iCs/>
          <w:sz w:val="28"/>
          <w:szCs w:val="28"/>
          <w:rtl/>
        </w:rPr>
      </w:pPr>
      <w:r w:rsidRPr="00A60CF2">
        <w:rPr>
          <w:rFonts w:asciiTheme="majorBidi" w:hAnsiTheme="majorBidi" w:cstheme="majorBidi" w:hint="cs"/>
          <w:b/>
          <w:bCs/>
          <w:i/>
          <w:iCs/>
          <w:sz w:val="28"/>
          <w:szCs w:val="28"/>
          <w:rtl/>
        </w:rPr>
        <w:t>بحث فى : توحيد الصفات</w:t>
      </w:r>
    </w:p>
    <w:p w:rsidR="008F11CB" w:rsidRPr="00A60CF2" w:rsidRDefault="008F11CB" w:rsidP="00A60CF2">
      <w:pPr>
        <w:jc w:val="center"/>
        <w:rPr>
          <w:rFonts w:asciiTheme="majorBidi" w:eastAsia="Calibri" w:hAnsiTheme="majorBidi" w:cstheme="majorBidi"/>
          <w:b/>
          <w:bCs/>
          <w:i/>
          <w:iCs/>
          <w:color w:val="4F81BD"/>
          <w:sz w:val="28"/>
          <w:szCs w:val="28"/>
          <w:rtl/>
          <w:lang w:bidi="ar-EG"/>
        </w:rPr>
      </w:pPr>
    </w:p>
    <w:p w:rsidR="00A60CF2" w:rsidRPr="008F11CB" w:rsidRDefault="00A60CF2" w:rsidP="008F11CB">
      <w:pPr>
        <w:pStyle w:val="Author"/>
        <w:tabs>
          <w:tab w:val="left" w:pos="4366"/>
          <w:tab w:val="center" w:pos="5244"/>
        </w:tabs>
        <w:bidi/>
        <w:spacing w:before="0" w:after="0"/>
        <w:rPr>
          <w:rFonts w:asciiTheme="majorBidi" w:hAnsiTheme="majorBidi" w:cstheme="majorBidi"/>
          <w:i/>
          <w:iCs/>
          <w:sz w:val="28"/>
          <w:szCs w:val="28"/>
          <w:lang w:eastAsia="zh-CN"/>
        </w:rPr>
      </w:pPr>
      <w:r w:rsidRPr="008F11CB">
        <w:rPr>
          <w:rFonts w:asciiTheme="majorBidi" w:hAnsiTheme="majorBidi" w:cstheme="majorBidi"/>
          <w:i/>
          <w:iCs/>
          <w:sz w:val="28"/>
          <w:szCs w:val="28"/>
          <w:rtl/>
          <w:lang w:eastAsia="zh-CN"/>
        </w:rPr>
        <w:t>إعداد /</w:t>
      </w:r>
      <w:r w:rsidR="008F11CB" w:rsidRPr="008F11CB">
        <w:rPr>
          <w:rFonts w:asciiTheme="majorBidi" w:hAnsiTheme="majorBidi" w:cstheme="majorBidi" w:hint="cs"/>
          <w:i/>
          <w:iCs/>
          <w:sz w:val="28"/>
          <w:szCs w:val="28"/>
          <w:rtl/>
          <w:lang w:eastAsia="zh-CN"/>
        </w:rPr>
        <w:t xml:space="preserve"> منة الله مجدى بهجت</w:t>
      </w:r>
    </w:p>
    <w:p w:rsidR="00A60CF2" w:rsidRPr="008F11CB" w:rsidRDefault="00A60CF2" w:rsidP="00A60CF2">
      <w:pPr>
        <w:pStyle w:val="Affiliation"/>
        <w:bidi/>
        <w:rPr>
          <w:rFonts w:asciiTheme="majorBidi" w:hAnsiTheme="majorBidi" w:cstheme="majorBidi"/>
          <w:i/>
          <w:iCs/>
          <w:sz w:val="28"/>
          <w:szCs w:val="28"/>
        </w:rPr>
      </w:pPr>
      <w:r w:rsidRPr="008F11CB">
        <w:rPr>
          <w:rFonts w:asciiTheme="majorBidi" w:hAnsiTheme="majorBidi" w:cstheme="majorBidi"/>
          <w:i/>
          <w:iCs/>
          <w:sz w:val="28"/>
          <w:szCs w:val="28"/>
          <w:rtl/>
        </w:rPr>
        <w:t>قسم الدعوة وأصول الدين</w:t>
      </w:r>
    </w:p>
    <w:p w:rsidR="00A60CF2" w:rsidRPr="008F11CB" w:rsidRDefault="00A60CF2" w:rsidP="00A60CF2">
      <w:pPr>
        <w:pStyle w:val="Affiliation"/>
        <w:bidi/>
        <w:rPr>
          <w:rFonts w:asciiTheme="majorBidi" w:hAnsiTheme="majorBidi" w:cstheme="majorBidi"/>
          <w:i/>
          <w:iCs/>
          <w:sz w:val="28"/>
          <w:szCs w:val="28"/>
        </w:rPr>
      </w:pPr>
      <w:r w:rsidRPr="008F11CB">
        <w:rPr>
          <w:rFonts w:asciiTheme="majorBidi" w:hAnsiTheme="majorBidi" w:cstheme="majorBidi"/>
          <w:i/>
          <w:iCs/>
          <w:sz w:val="28"/>
          <w:szCs w:val="28"/>
          <w:rtl/>
        </w:rPr>
        <w:t>كلية العلوم الإسلامية – جامعة المدينة العالمية</w:t>
      </w:r>
    </w:p>
    <w:p w:rsidR="00A60CF2" w:rsidRPr="008F11CB" w:rsidRDefault="00A60CF2" w:rsidP="00A60CF2">
      <w:pPr>
        <w:pStyle w:val="Affiliation"/>
        <w:bidi/>
        <w:rPr>
          <w:rFonts w:asciiTheme="majorBidi" w:hAnsiTheme="majorBidi" w:cstheme="majorBidi"/>
          <w:i/>
          <w:iCs/>
          <w:sz w:val="28"/>
          <w:szCs w:val="28"/>
          <w:rtl/>
        </w:rPr>
      </w:pPr>
      <w:r w:rsidRPr="008F11CB">
        <w:rPr>
          <w:rFonts w:asciiTheme="majorBidi" w:hAnsiTheme="majorBidi" w:cstheme="majorBidi"/>
          <w:i/>
          <w:iCs/>
          <w:sz w:val="28"/>
          <w:szCs w:val="28"/>
          <w:rtl/>
        </w:rPr>
        <w:t>شاه علم - ماليزيا</w:t>
      </w:r>
    </w:p>
    <w:p w:rsidR="00A60CF2" w:rsidRPr="008F11CB" w:rsidRDefault="008F11CB" w:rsidP="00A60CF2">
      <w:pPr>
        <w:tabs>
          <w:tab w:val="left" w:pos="4050"/>
        </w:tabs>
        <w:jc w:val="center"/>
        <w:rPr>
          <w:rFonts w:asciiTheme="majorBidi" w:eastAsia="SimSun" w:hAnsiTheme="majorBidi" w:cstheme="majorBidi" w:hint="cs"/>
          <w:i/>
          <w:iCs/>
          <w:sz w:val="28"/>
          <w:szCs w:val="28"/>
          <w:rtl/>
          <w:lang w:eastAsia="zh-CN"/>
        </w:rPr>
      </w:pPr>
      <w:hyperlink r:id="rId5" w:history="1">
        <w:r w:rsidRPr="008F11CB">
          <w:rPr>
            <w:rFonts w:asciiTheme="majorBidi" w:eastAsia="SimSun" w:hAnsiTheme="majorBidi" w:cstheme="majorBidi"/>
            <w:i/>
            <w:iCs/>
            <w:lang w:eastAsia="zh-CN"/>
          </w:rPr>
          <w:t>Menna.Magdy@mediu.ws</w:t>
        </w:r>
      </w:hyperlink>
    </w:p>
    <w:p w:rsidR="008F11CB" w:rsidRDefault="008F11CB" w:rsidP="00A60CF2">
      <w:pPr>
        <w:tabs>
          <w:tab w:val="left" w:pos="4050"/>
        </w:tabs>
        <w:jc w:val="center"/>
        <w:rPr>
          <w:rFonts w:hint="cs"/>
          <w:b/>
          <w:bCs/>
          <w:sz w:val="28"/>
          <w:szCs w:val="28"/>
          <w:rtl/>
          <w:lang w:bidi="ar-EG"/>
        </w:rPr>
      </w:pPr>
    </w:p>
    <w:p w:rsidR="008F11CB" w:rsidRPr="00FE0D55" w:rsidRDefault="008F11CB" w:rsidP="00A60CF2">
      <w:pPr>
        <w:tabs>
          <w:tab w:val="left" w:pos="4050"/>
        </w:tabs>
        <w:jc w:val="center"/>
        <w:rPr>
          <w:rFonts w:asciiTheme="majorBidi" w:hAnsiTheme="majorBidi" w:cstheme="majorBidi"/>
          <w:b/>
          <w:bCs/>
          <w:i/>
          <w:iCs/>
          <w:sz w:val="18"/>
          <w:szCs w:val="18"/>
          <w:lang w:bidi="ar-EG"/>
        </w:rPr>
      </w:pPr>
    </w:p>
    <w:p w:rsidR="00A60CF2" w:rsidRDefault="00A60CF2" w:rsidP="00A60CF2">
      <w:pPr>
        <w:spacing w:before="60"/>
        <w:rPr>
          <w:rFonts w:asciiTheme="majorBidi" w:hAnsiTheme="majorBidi" w:cstheme="majorBidi"/>
          <w:b/>
          <w:bCs/>
          <w:sz w:val="18"/>
          <w:szCs w:val="18"/>
          <w:rtl/>
        </w:rPr>
        <w:sectPr w:rsidR="00A60CF2" w:rsidSect="00A60CF2">
          <w:pgSz w:w="11906" w:h="16838"/>
          <w:pgMar w:top="731" w:right="737" w:bottom="2432" w:left="737" w:header="709" w:footer="709" w:gutter="0"/>
          <w:cols w:space="708"/>
          <w:bidi/>
          <w:rtlGutter/>
          <w:docGrid w:linePitch="360"/>
        </w:sectPr>
      </w:pPr>
    </w:p>
    <w:p w:rsidR="00A60CF2" w:rsidRPr="00916DA5" w:rsidRDefault="00A60CF2" w:rsidP="00A60CF2">
      <w:pPr>
        <w:spacing w:before="60"/>
        <w:rPr>
          <w:rFonts w:asciiTheme="majorBidi" w:eastAsia="Calibri" w:hAnsiTheme="majorBidi" w:cstheme="majorBidi"/>
          <w:b/>
          <w:bCs/>
          <w:sz w:val="18"/>
          <w:szCs w:val="18"/>
          <w:rtl/>
        </w:rPr>
      </w:pPr>
      <w:r w:rsidRPr="00A60CF2">
        <w:rPr>
          <w:rFonts w:asciiTheme="majorBidi" w:hAnsiTheme="majorBidi" w:cstheme="majorBidi" w:hint="cs"/>
          <w:b/>
          <w:bCs/>
          <w:sz w:val="18"/>
          <w:szCs w:val="18"/>
          <w:rtl/>
        </w:rPr>
        <w:lastRenderedPageBreak/>
        <w:t>خلاصة هذا البحث فى :</w:t>
      </w:r>
      <w:r w:rsidRPr="00A60CF2">
        <w:rPr>
          <w:rFonts w:asciiTheme="majorBidi" w:eastAsia="Calibri" w:hAnsiTheme="majorBidi" w:cstheme="majorBidi"/>
          <w:b/>
          <w:bCs/>
          <w:sz w:val="18"/>
          <w:szCs w:val="18"/>
          <w:rtl/>
        </w:rPr>
        <w:t xml:space="preserve"> القول في الصفات كالقول في الذات</w:t>
      </w:r>
      <w:r>
        <w:rPr>
          <w:rFonts w:asciiTheme="majorBidi" w:eastAsia="Calibri" w:hAnsiTheme="majorBidi" w:cstheme="majorBidi"/>
          <w:b/>
          <w:bCs/>
          <w:sz w:val="18"/>
          <w:szCs w:val="18"/>
          <w:rtl/>
        </w:rPr>
        <w:tab/>
      </w:r>
    </w:p>
    <w:p w:rsidR="00A60CF2" w:rsidRPr="00916DA5" w:rsidRDefault="00A60CF2" w:rsidP="00A60CF2">
      <w:pPr>
        <w:tabs>
          <w:tab w:val="center" w:pos="5244"/>
          <w:tab w:val="left" w:pos="5752"/>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المذهب، حكاه، الخطابى</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A60CF2" w:rsidRPr="00916DA5" w:rsidRDefault="00A60CF2" w:rsidP="00A60CF2">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A60CF2" w:rsidRPr="00916DA5" w:rsidRDefault="00A60CF2" w:rsidP="00A60CF2">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A60CF2">
        <w:rPr>
          <w:rFonts w:asciiTheme="majorBidi" w:eastAsia="Calibri" w:hAnsiTheme="majorBidi" w:cstheme="majorBidi"/>
          <w:b/>
          <w:bCs/>
          <w:sz w:val="18"/>
          <w:szCs w:val="18"/>
          <w:rtl/>
        </w:rPr>
        <w:t>القول في الصفات كالقول في الذات</w:t>
      </w:r>
    </w:p>
    <w:p w:rsidR="00A60CF2" w:rsidRPr="00A60CF2" w:rsidRDefault="00A60CF2" w:rsidP="00A60CF2">
      <w:pPr>
        <w:pStyle w:val="ListParagraph"/>
        <w:numPr>
          <w:ilvl w:val="0"/>
          <w:numId w:val="3"/>
        </w:numPr>
        <w:spacing w:before="60"/>
        <w:ind w:left="184" w:firstLine="425"/>
        <w:jc w:val="center"/>
        <w:rPr>
          <w:rFonts w:asciiTheme="majorBidi" w:eastAsia="Calibri" w:hAnsiTheme="majorBidi" w:cstheme="majorBidi"/>
          <w:b/>
          <w:bCs/>
          <w:sz w:val="44"/>
          <w:szCs w:val="44"/>
        </w:rPr>
      </w:pPr>
      <w:r w:rsidRPr="00A60CF2">
        <w:rPr>
          <w:rFonts w:eastAsia="SimSun" w:hint="cs"/>
          <w:b/>
          <w:bCs/>
          <w:i/>
          <w:iCs/>
          <w:sz w:val="20"/>
          <w:szCs w:val="20"/>
          <w:rtl/>
          <w:lang w:eastAsia="zh-CN"/>
        </w:rPr>
        <w:t>. موضوع المقالة</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وهذا هو المذهب الذي حكاه الخطَّابي وغيرُه عن السلف، وعليه يدل كلام جمهورهم، وكلام الباقين لا يُخالفه، وهو أمرٌ واضح؛ فإن الصفات كالذات، فكما أن ذات الله ثابتة حقيقة من غير أن تكون من جنس المخلوقات، فصفاته ثابتة حقيقة من غير أن تكون من جنس صفات المخلوقات.</w:t>
      </w:r>
    </w:p>
    <w:p w:rsidR="00A60CF2" w:rsidRPr="00A60CF2" w:rsidRDefault="00A60CF2" w:rsidP="00A60CF2">
      <w:pPr>
        <w:pStyle w:val="NormalWeb"/>
        <w:bidi/>
        <w:spacing w:before="0" w:beforeAutospacing="0" w:after="0" w:afterAutospacing="0"/>
        <w:jc w:val="lowKashida"/>
        <w:rPr>
          <w:sz w:val="18"/>
          <w:szCs w:val="18"/>
          <w:rtl/>
          <w:lang w:bidi="ar-EG"/>
        </w:rPr>
      </w:pPr>
      <w:r w:rsidRPr="00A60CF2">
        <w:rPr>
          <w:sz w:val="18"/>
          <w:szCs w:val="18"/>
          <w:rtl/>
        </w:rPr>
        <w:t xml:space="preserve"> يُقال لهذا المعطل: هل تُثبت لله الذات؟ فإن قال: نعم، قلنا: هل هذه الذات مثل ذوات المخلوقات، فالمخلوقات لها ذات؟ فإن قال: لا، قلنا: وكذلك صفات هذه الذات.</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صفات ذات الله </w:t>
      </w:r>
      <w:r w:rsidRPr="00A60CF2">
        <w:rPr>
          <w:rFonts w:ascii="AGA Arabesque" w:hAnsi="AGA Arabesque"/>
          <w:position w:val="-4"/>
          <w:sz w:val="18"/>
          <w:szCs w:val="18"/>
        </w:rPr>
        <w:t></w:t>
      </w:r>
      <w:r w:rsidRPr="00A60CF2">
        <w:rPr>
          <w:sz w:val="18"/>
          <w:szCs w:val="18"/>
          <w:rtl/>
        </w:rPr>
        <w:t xml:space="preserve"> تلائمه </w:t>
      </w:r>
      <w:r w:rsidRPr="00A60CF2">
        <w:rPr>
          <w:rFonts w:ascii="AGA Arabesque" w:hAnsi="AGA Arabesque"/>
          <w:position w:val="-4"/>
          <w:sz w:val="18"/>
          <w:szCs w:val="18"/>
        </w:rPr>
        <w:t></w:t>
      </w:r>
      <w:r w:rsidRPr="00A60CF2">
        <w:rPr>
          <w:sz w:val="18"/>
          <w:szCs w:val="18"/>
          <w:rtl/>
        </w:rPr>
        <w:t xml:space="preserve"> صفات هذه الذات تلائم هذه الذات وصفات ذات المخلوق تلائم ذات المخلوق لا فرق بين هذا وذاك.</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وهذا من باب إلزام الخصم.</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يقال له: القول في الصفات كالقول في الذات، فإن زعمت أن إثبات الصفات يستلزم التشبيه، فكذلك إثبات الذات، وإن قلت: إثبات الذات لا يستلزم التشبيه، قلنا لك: أيضًا الصفات إثباتها لا يستلزم التشبيه، فمن قال: لا أعقل علمًا ويدًا إلا من جنس العلم واليد المعهودين، لو قال لنا هذا المعطل: أنا أصلًا لا يمكن أتصور لا </w:t>
      </w:r>
      <w:r w:rsidRPr="00A60CF2">
        <w:rPr>
          <w:rFonts w:hint="cs"/>
          <w:sz w:val="18"/>
          <w:szCs w:val="18"/>
          <w:rtl/>
        </w:rPr>
        <w:t>أ</w:t>
      </w:r>
      <w:r w:rsidRPr="00A60CF2">
        <w:rPr>
          <w:sz w:val="18"/>
          <w:szCs w:val="18"/>
          <w:rtl/>
        </w:rPr>
        <w:t xml:space="preserve">عقل علم ولا يد إلا علم هذا المخلوق، ويد هذا المخلوق، نرد عليه مباشرة ونقول له: فكيف تعقل ذاتًا من غير جنس ذوات المخلوقين؟ ألست الآن تثبت لله ذاتا؟ كيف عقلتها وتصورتها أن هناك ذات مخالفة لذوات المخلوقين؟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فإذا أثبت ذلك، فأثبت هذه الصفات للعلم واليدين، والوجه في هذه الذات لائقة فيه من غير جنس صفات المخلوقين.</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قيل له: فكيف تعقل ذاتًا من غير جنس ذوات المخلوقين، ومن المعلوم أن صفات كل موصوف تناسب ذاته وتلائم حقيقته؟ وهذا معلوم حتى في نطاق البشر، في نطاق المخلوقات. هل يقول قائل: إن صفات بني آدم مثل مثلًا: صفات الذر، هل يد النملة مثل يد الفيل؟ هل سمع الإنسان مثلًا مثل سمع ذات المخلوق الآخر؟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كل مخلوق له من الصفات ما يناسبه. إذا كان هذا في حق المخلوق، فما الظن بالخالق </w:t>
      </w:r>
      <w:r w:rsidRPr="00A60CF2">
        <w:rPr>
          <w:rFonts w:ascii="AGA Arabesque" w:hAnsi="AGA Arabesque"/>
          <w:position w:val="-4"/>
          <w:sz w:val="18"/>
          <w:szCs w:val="18"/>
        </w:rPr>
        <w:t></w:t>
      </w:r>
      <w:r w:rsidRPr="00A60CF2">
        <w:rPr>
          <w:sz w:val="18"/>
          <w:szCs w:val="18"/>
          <w:rtl/>
        </w:rPr>
        <w:t xml:space="preserve">؟ فصفاتُه تناسبه تليق بجلاله </w:t>
      </w:r>
      <w:r w:rsidRPr="00A60CF2">
        <w:rPr>
          <w:rFonts w:ascii="AGA Arabesque" w:hAnsi="AGA Arabesque"/>
          <w:position w:val="-4"/>
          <w:sz w:val="18"/>
          <w:szCs w:val="18"/>
        </w:rPr>
        <w:t></w:t>
      </w:r>
      <w:r w:rsidRPr="00A60CF2">
        <w:rPr>
          <w:sz w:val="18"/>
          <w:szCs w:val="18"/>
          <w:rtl/>
        </w:rPr>
        <w:t xml:space="preserve"> لا تماثل صفات المخلوقين.</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والبَعُوضَة موجودة، هل يقول عاقِل: إن وجود البعوضة مثل وجود العرش؟ وهذا مخلوق مع مخلوق، فما الظن للخالق مع المخلوق؟ فمن لم يفهم من صفات الذي </w:t>
      </w:r>
      <w:r w:rsidRPr="00A60CF2">
        <w:rPr>
          <w:rFonts w:ascii="Tahoma" w:hAnsi="Tahoma" w:cs="DecoType Thuluth" w:hint="cs"/>
          <w:sz w:val="18"/>
          <w:szCs w:val="18"/>
          <w:rtl/>
        </w:rPr>
        <w:t>{</w:t>
      </w:r>
      <w:r w:rsidRPr="00A60CF2">
        <w:rPr>
          <w:rFonts w:ascii="QCF_P484" w:hAnsi="QCF_P484" w:cs="QCF_P484"/>
          <w:sz w:val="18"/>
          <w:szCs w:val="18"/>
          <w:rtl/>
        </w:rPr>
        <w:t>ﭡ ﭢ ﭣ</w:t>
      </w:r>
      <w:r w:rsidRPr="00A60CF2">
        <w:rPr>
          <w:rFonts w:ascii="QCF_P484" w:hAnsi="QCF_P484" w:cs="DecoType Thuluth"/>
          <w:sz w:val="18"/>
          <w:szCs w:val="18"/>
          <w:rtl/>
        </w:rPr>
        <w:t>}</w:t>
      </w:r>
      <w:r w:rsidRPr="00A60CF2">
        <w:rPr>
          <w:sz w:val="18"/>
          <w:szCs w:val="18"/>
          <w:rtl/>
        </w:rPr>
        <w:t xml:space="preserve"> إلا ما يناسب المخلوق فقد ضل في عقله ودينه.</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إذا كنت لا </w:t>
      </w:r>
      <w:r w:rsidRPr="00A60CF2">
        <w:rPr>
          <w:rFonts w:hint="cs"/>
          <w:sz w:val="18"/>
          <w:szCs w:val="18"/>
          <w:rtl/>
        </w:rPr>
        <w:t>ت</w:t>
      </w:r>
      <w:r w:rsidRPr="00A60CF2">
        <w:rPr>
          <w:sz w:val="18"/>
          <w:szCs w:val="18"/>
          <w:rtl/>
        </w:rPr>
        <w:t xml:space="preserve">فهم من إثبات هذه الصفة، أو هذه الصفات المنسوبة لله </w:t>
      </w:r>
      <w:r w:rsidRPr="00A60CF2">
        <w:rPr>
          <w:rFonts w:ascii="AGA Arabesque" w:hAnsi="AGA Arabesque"/>
          <w:position w:val="-4"/>
          <w:sz w:val="18"/>
          <w:szCs w:val="18"/>
        </w:rPr>
        <w:t></w:t>
      </w:r>
      <w:r w:rsidRPr="00A60CF2">
        <w:rPr>
          <w:sz w:val="18"/>
          <w:szCs w:val="18"/>
          <w:rtl/>
        </w:rPr>
        <w:t xml:space="preserve"> إلا ما هو ثابت عند المخلوق؛ فهذا ضلال في العقل، وضلال في الدين. يقول: ما أحسن ما قال بعضهم: إذا قال لك الجهمي كيف استوى؟ وكيف ينزل إلى سماء الدنيا؟ فإنه يمكن الاستواء والنزول، فإذا قال لي الجهمي أو المعتزلي والأشعري قلت له: استوى على العرش أينزل ربنا كل ليلة فقال: كيف ينزل؟ وكيف استوى؟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نعم، لتقرير أو لأجل أن يقرر باطله، يقرر نفي هذه الصفة عن الله </w:t>
      </w:r>
      <w:r w:rsidRPr="00A60CF2">
        <w:rPr>
          <w:rFonts w:ascii="AGA Arabesque" w:hAnsi="AGA Arabesque"/>
          <w:position w:val="-4"/>
          <w:sz w:val="18"/>
          <w:szCs w:val="18"/>
        </w:rPr>
        <w:t></w:t>
      </w:r>
      <w:r w:rsidRPr="00A60CF2">
        <w:rPr>
          <w:sz w:val="18"/>
          <w:szCs w:val="18"/>
          <w:rtl/>
        </w:rPr>
        <w:t xml:space="preserve"> كأنه يقول: أنت الآن تُشَبّه الخالق بالمخلوق كيف استوى؟ ما نعرفُ استواء إلا استواء المخلوق عند المخلوق استواء الإنسان على الكرسي. استواء الإنسان على ظهر الدابة، والنزول من أعلى إلى أسفل.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فقل له: كيف هو في نفسه؟ كيف الله في نفسه؟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فإذا قال لك: لا يعلم كيف هو، فقل له: وكذلك أنا لا أعلم كيفية وجهه ولا كيفية يديه.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lastRenderedPageBreak/>
        <w:t xml:space="preserve">يقول: فإذا قال لك: لا يُعلم ما هو إلا هو، وكنه الباري غير معلوم للبشر، فقل له: فالعلم بكيفية الصفة، مستلزم للعلم بكيفية الموصوف كيف تطالبني بمعرفة كيفية الصفة وأنت تجهل كيفية الموصوف؟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فإذا نفيت علمك بكيفية الموصوف؛ أنا أيضًا لا أعلم كيفي</w:t>
      </w:r>
      <w:r w:rsidRPr="00A60CF2">
        <w:rPr>
          <w:rFonts w:hint="cs"/>
          <w:sz w:val="18"/>
          <w:szCs w:val="18"/>
          <w:rtl/>
        </w:rPr>
        <w:t>ته من هذا الموصوف</w:t>
      </w:r>
      <w:r w:rsidRPr="00A60CF2">
        <w:rPr>
          <w:sz w:val="18"/>
          <w:szCs w:val="18"/>
          <w:rtl/>
        </w:rPr>
        <w:t>.</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يقول: فكيف يمكن أن تعلم بكيفية صفة الموصوف، ولم تعلم كيفيته، وإنما تعلم الذات، والصفات، من حيث الجملة على الوجه الذي ينبغي له، بل هذه المخلوقات؟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يقول: المثال الأول موجود في الجنة، الله </w:t>
      </w:r>
      <w:r w:rsidRPr="00A60CF2">
        <w:rPr>
          <w:rFonts w:ascii="AGA Arabesque" w:hAnsi="AGA Arabesque"/>
          <w:position w:val="-4"/>
          <w:sz w:val="18"/>
          <w:szCs w:val="18"/>
        </w:rPr>
        <w:t></w:t>
      </w:r>
      <w:r w:rsidRPr="00A60CF2">
        <w:rPr>
          <w:sz w:val="18"/>
          <w:szCs w:val="18"/>
          <w:rtl/>
        </w:rPr>
        <w:t xml:space="preserve"> أخبرنا أن في الجنة لبنًا وعسل</w:t>
      </w:r>
      <w:r w:rsidRPr="00A60CF2">
        <w:rPr>
          <w:rFonts w:hint="cs"/>
          <w:sz w:val="18"/>
          <w:szCs w:val="18"/>
          <w:rtl/>
        </w:rPr>
        <w:t>ًا</w:t>
      </w:r>
      <w:r w:rsidRPr="00A60CF2">
        <w:rPr>
          <w:sz w:val="18"/>
          <w:szCs w:val="18"/>
          <w:rtl/>
        </w:rPr>
        <w:t xml:space="preserve"> وماء وأنهار</w:t>
      </w:r>
      <w:r w:rsidRPr="00A60CF2">
        <w:rPr>
          <w:rFonts w:hint="cs"/>
          <w:sz w:val="18"/>
          <w:szCs w:val="18"/>
          <w:rtl/>
        </w:rPr>
        <w:t>ًا</w:t>
      </w:r>
      <w:r w:rsidRPr="00A60CF2">
        <w:rPr>
          <w:sz w:val="18"/>
          <w:szCs w:val="18"/>
          <w:rtl/>
        </w:rPr>
        <w:t>، وزوجات وفاكهة وقصور</w:t>
      </w:r>
      <w:r w:rsidRPr="00A60CF2">
        <w:rPr>
          <w:rFonts w:hint="cs"/>
          <w:sz w:val="18"/>
          <w:szCs w:val="18"/>
          <w:rtl/>
        </w:rPr>
        <w:t>ًا</w:t>
      </w:r>
      <w:r w:rsidRPr="00A60CF2">
        <w:rPr>
          <w:sz w:val="18"/>
          <w:szCs w:val="18"/>
          <w:rtl/>
        </w:rPr>
        <w:t>.</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نعم، وفي الدنيا مثيل لهذه الأشياء في الأسماء؛ فيها لبن عندنا لبن وعسل وفاكهة؛ فهل يقول عاقل: إنّ موجودات الدنيا مثل مجودات الآخرة؟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قال ابن عباس </w:t>
      </w:r>
      <w:r w:rsidRPr="00A60CF2">
        <w:rPr>
          <w:rFonts w:cs="SC_ALYERMOOK" w:hint="cs"/>
          <w:position w:val="-4"/>
          <w:sz w:val="18"/>
          <w:szCs w:val="18"/>
          <w:rtl/>
        </w:rPr>
        <w:t>&gt;</w:t>
      </w:r>
      <w:r w:rsidRPr="00A60CF2">
        <w:rPr>
          <w:sz w:val="18"/>
          <w:szCs w:val="18"/>
          <w:rtl/>
        </w:rPr>
        <w:t xml:space="preserve">: "ليس في الدنيا مما في الجنة إلا الأسماء. الحقيقة الله أعلم بها". ولهذا قال النبي </w:t>
      </w:r>
      <w:r w:rsidRPr="00A60CF2">
        <w:rPr>
          <w:rFonts w:ascii="AGA Arabesque" w:hAnsi="AGA Arabesque"/>
          <w:position w:val="-4"/>
          <w:sz w:val="18"/>
          <w:szCs w:val="18"/>
        </w:rPr>
        <w:t></w:t>
      </w:r>
      <w:r w:rsidRPr="00A60CF2">
        <w:rPr>
          <w:sz w:val="18"/>
          <w:szCs w:val="18"/>
          <w:rtl/>
        </w:rPr>
        <w:t xml:space="preserve"> بالحديث المتفق عليه: ((فيها </w:t>
      </w:r>
      <w:r w:rsidRPr="00A60CF2">
        <w:rPr>
          <w:rFonts w:cs="Traditional Arabic"/>
          <w:sz w:val="18"/>
          <w:szCs w:val="18"/>
          <w:rtl/>
        </w:rPr>
        <w:t>-</w:t>
      </w:r>
      <w:r w:rsidRPr="00A60CF2">
        <w:rPr>
          <w:sz w:val="18"/>
          <w:szCs w:val="18"/>
          <w:rtl/>
        </w:rPr>
        <w:t>يعني: الجنة</w:t>
      </w:r>
      <w:r w:rsidRPr="00A60CF2">
        <w:rPr>
          <w:rFonts w:cs="Traditional Arabic"/>
          <w:sz w:val="18"/>
          <w:szCs w:val="18"/>
          <w:rtl/>
        </w:rPr>
        <w:t>-</w:t>
      </w:r>
      <w:r w:rsidRPr="00A60CF2">
        <w:rPr>
          <w:sz w:val="18"/>
          <w:szCs w:val="18"/>
          <w:rtl/>
        </w:rPr>
        <w:t xml:space="preserve"> ما لا عين رأت ولا أذن سمعت ولا خطر على قلب بشر اقرءوا إن شئتم: </w:t>
      </w:r>
      <w:r w:rsidRPr="00A60CF2">
        <w:rPr>
          <w:rFonts w:cs="DecoType Thuluth" w:hint="cs"/>
          <w:sz w:val="18"/>
          <w:szCs w:val="18"/>
          <w:rtl/>
        </w:rPr>
        <w:t>{</w:t>
      </w:r>
      <w:r w:rsidRPr="00A60CF2">
        <w:rPr>
          <w:rFonts w:ascii="QCF_P416" w:hAnsi="QCF_P416" w:cs="QCF_P416"/>
          <w:sz w:val="18"/>
          <w:szCs w:val="18"/>
          <w:rtl/>
        </w:rPr>
        <w:t>ﮠ ﮡ ﮢ ﮣ ﮤ ﮥ ﮦ ﮧ ﮨ</w:t>
      </w:r>
      <w:r w:rsidRPr="00A60CF2">
        <w:rPr>
          <w:rFonts w:ascii="QCF_P416" w:hAnsi="QCF_P416" w:cs="DecoType Thuluth"/>
          <w:sz w:val="18"/>
          <w:szCs w:val="18"/>
          <w:rtl/>
        </w:rPr>
        <w:t>}</w:t>
      </w:r>
      <w:r w:rsidRPr="00A60CF2">
        <w:rPr>
          <w:sz w:val="18"/>
          <w:szCs w:val="18"/>
          <w:rtl/>
        </w:rPr>
        <w:t xml:space="preserve">)) فإذا كان وهذا هو القياس الأولى. </w:t>
      </w:r>
    </w:p>
    <w:p w:rsidR="00A60CF2" w:rsidRPr="00A60CF2" w:rsidRDefault="00A60CF2" w:rsidP="00A60CF2">
      <w:pPr>
        <w:pStyle w:val="NormalWeb"/>
        <w:bidi/>
        <w:spacing w:before="0" w:beforeAutospacing="0" w:after="0" w:afterAutospacing="0"/>
        <w:jc w:val="lowKashida"/>
        <w:rPr>
          <w:sz w:val="18"/>
          <w:szCs w:val="18"/>
        </w:rPr>
      </w:pPr>
      <w:r w:rsidRPr="00A60CF2">
        <w:rPr>
          <w:sz w:val="18"/>
          <w:szCs w:val="18"/>
          <w:rtl/>
        </w:rPr>
        <w:t xml:space="preserve">إذا كان اتفاق المخلوق مع المخلوق في الاسم لا يستلزم منه التماثل في المسمى، فاتفاق صفات الخالق مع صفات المخلوق في الاسم من باب أولى، لا يلزم من ذلك التماثل. </w:t>
      </w:r>
    </w:p>
    <w:p w:rsidR="00A60CF2" w:rsidRPr="00A60CF2" w:rsidRDefault="00A60CF2" w:rsidP="00A60CF2">
      <w:pPr>
        <w:pStyle w:val="NormalWeb"/>
        <w:bidi/>
        <w:spacing w:before="0" w:beforeAutospacing="0" w:after="0" w:afterAutospacing="0"/>
        <w:jc w:val="lowKashida"/>
        <w:rPr>
          <w:sz w:val="18"/>
          <w:szCs w:val="18"/>
          <w:rtl/>
          <w:lang w:bidi="ar-EG"/>
        </w:rPr>
      </w:pPr>
      <w:r w:rsidRPr="00A60CF2">
        <w:rPr>
          <w:sz w:val="18"/>
          <w:szCs w:val="18"/>
          <w:rtl/>
        </w:rPr>
        <w:t xml:space="preserve">يعني الآن عندنا موجودات مخلوق مع مخلوق، الجنة مخلوقة وموجودات الدنيا مخلوقة، اتفقا في الاسم: "لبن ولبن، عسل وعسل" واختلفا في الحقيقة، إذا كان المخلوق له وجه ويد، والله </w:t>
      </w:r>
      <w:r w:rsidRPr="00A60CF2">
        <w:rPr>
          <w:rFonts w:ascii="AGA Arabesque" w:hAnsi="AGA Arabesque"/>
          <w:position w:val="-4"/>
          <w:sz w:val="18"/>
          <w:szCs w:val="18"/>
        </w:rPr>
        <w:t></w:t>
      </w:r>
      <w:r w:rsidRPr="00A60CF2">
        <w:rPr>
          <w:sz w:val="18"/>
          <w:szCs w:val="18"/>
          <w:rtl/>
        </w:rPr>
        <w:t xml:space="preserve"> موصوف بأنّ له وجهًا ويد، فالاتفاق بالاسم لا يلزم منه الاتفاق في المسمى وهذا قياس الأولى.</w:t>
      </w:r>
    </w:p>
    <w:p w:rsidR="00A60CF2" w:rsidRDefault="00A60CF2" w:rsidP="00A60CF2">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A60CF2" w:rsidRPr="00785C26" w:rsidRDefault="00A60CF2" w:rsidP="00A60CF2">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A60CF2" w:rsidRPr="00785C26" w:rsidRDefault="00A60CF2" w:rsidP="00A60CF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A60CF2" w:rsidRDefault="00A60CF2" w:rsidP="00A60CF2">
      <w:pPr>
        <w:jc w:val="center"/>
        <w:rPr>
          <w:rFonts w:asciiTheme="majorBidi" w:hAnsiTheme="majorBidi" w:cstheme="majorBidi"/>
          <w:b/>
          <w:bCs/>
          <w:sz w:val="18"/>
          <w:szCs w:val="18"/>
          <w:rtl/>
          <w:lang w:bidi="ar-EG"/>
        </w:rPr>
        <w:sectPr w:rsidR="00A60CF2" w:rsidSect="00A60CF2">
          <w:type w:val="continuous"/>
          <w:pgSz w:w="11906" w:h="16838"/>
          <w:pgMar w:top="731" w:right="737" w:bottom="2432" w:left="737" w:header="709" w:footer="709" w:gutter="0"/>
          <w:cols w:num="2" w:space="710" w:equalWidth="0">
            <w:col w:w="4861" w:space="710"/>
            <w:col w:w="4861"/>
          </w:cols>
          <w:bidi/>
          <w:rtlGutter/>
          <w:docGrid w:linePitch="360"/>
        </w:sectPr>
      </w:pPr>
    </w:p>
    <w:p w:rsidR="00A60CF2" w:rsidRPr="00785C26" w:rsidRDefault="00A60CF2" w:rsidP="00A60CF2">
      <w:pPr>
        <w:jc w:val="center"/>
        <w:rPr>
          <w:rFonts w:asciiTheme="majorBidi" w:hAnsiTheme="majorBidi" w:cstheme="majorBidi"/>
          <w:b/>
          <w:bCs/>
          <w:sz w:val="18"/>
          <w:szCs w:val="18"/>
          <w:rtl/>
          <w:lang w:bidi="ar-EG"/>
        </w:rPr>
      </w:pPr>
    </w:p>
    <w:p w:rsidR="004219C3" w:rsidRPr="00A60CF2" w:rsidRDefault="004219C3" w:rsidP="00A60CF2">
      <w:pPr>
        <w:spacing w:before="60"/>
        <w:jc w:val="center"/>
        <w:rPr>
          <w:rFonts w:asciiTheme="majorBidi" w:eastAsia="Calibri" w:hAnsiTheme="majorBidi" w:cstheme="majorBidi"/>
          <w:b/>
          <w:bCs/>
          <w:sz w:val="44"/>
          <w:szCs w:val="44"/>
          <w:lang w:bidi="ar-EG"/>
        </w:rPr>
      </w:pPr>
    </w:p>
    <w:sectPr w:rsidR="004219C3" w:rsidRPr="00A60CF2" w:rsidSect="00A60CF2">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484">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_P416">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EB576C"/>
    <w:multiLevelType w:val="hybridMultilevel"/>
    <w:tmpl w:val="34842ABE"/>
    <w:lvl w:ilvl="0" w:tplc="3DAC83FA">
      <w:start w:val="1"/>
      <w:numFmt w:val="bullet"/>
      <w:lvlText w:val=""/>
      <w:lvlJc w:val="center"/>
      <w:pPr>
        <w:ind w:left="720" w:hanging="360"/>
      </w:pPr>
      <w:rPr>
        <w:rFonts w:ascii="Symbol" w:hAnsi="Symbol" w:cs="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CF2"/>
    <w:rsid w:val="001A2769"/>
    <w:rsid w:val="004168A0"/>
    <w:rsid w:val="004219C3"/>
    <w:rsid w:val="0073536F"/>
    <w:rsid w:val="008F11CB"/>
    <w:rsid w:val="00A60CF2"/>
    <w:rsid w:val="00D844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F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CF2"/>
    <w:pPr>
      <w:bidi w:val="0"/>
      <w:spacing w:before="100" w:beforeAutospacing="1" w:after="100" w:afterAutospacing="1"/>
    </w:pPr>
  </w:style>
  <w:style w:type="paragraph" w:customStyle="1" w:styleId="Affiliation">
    <w:name w:val="Affiliation"/>
    <w:rsid w:val="00A60CF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60CF2"/>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A60CF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60C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na.Magd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877</Words>
  <Characters>5005</Characters>
  <Application>Microsoft Office Word</Application>
  <DocSecurity>0</DocSecurity>
  <Lines>41</Lines>
  <Paragraphs>11</Paragraphs>
  <ScaleCrop>false</ScaleCrop>
  <Company>Fannan</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2013-06-23T08:22:00Z</dcterms:created>
  <dcterms:modified xsi:type="dcterms:W3CDTF">2013-06-25T10:20:00Z</dcterms:modified>
</cp:coreProperties>
</file>