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02D" w:rsidRDefault="0075402D" w:rsidP="0075402D">
      <w:pPr>
        <w:spacing w:before="60"/>
        <w:jc w:val="center"/>
        <w:rPr>
          <w:rFonts w:asciiTheme="majorBidi" w:eastAsia="Calibri" w:hAnsiTheme="majorBidi" w:cstheme="majorBidi"/>
          <w:b/>
          <w:bCs/>
          <w:sz w:val="44"/>
          <w:szCs w:val="44"/>
          <w:rtl/>
        </w:rPr>
      </w:pPr>
      <w:r w:rsidRPr="0075402D">
        <w:rPr>
          <w:rFonts w:asciiTheme="majorBidi" w:eastAsia="Calibri" w:hAnsiTheme="majorBidi" w:cstheme="majorBidi"/>
          <w:b/>
          <w:bCs/>
          <w:sz w:val="44"/>
          <w:szCs w:val="44"/>
          <w:rtl/>
        </w:rPr>
        <w:t>القول في بعض الصفات كالقول في البعض الآخر</w:t>
      </w:r>
    </w:p>
    <w:p w:rsidR="0075402D" w:rsidRDefault="0075402D" w:rsidP="0075402D">
      <w:pPr>
        <w:jc w:val="center"/>
        <w:rPr>
          <w:rFonts w:asciiTheme="majorBidi" w:hAnsiTheme="majorBidi" w:cstheme="majorBidi" w:hint="cs"/>
          <w:b/>
          <w:bCs/>
          <w:i/>
          <w:iCs/>
          <w:sz w:val="28"/>
          <w:szCs w:val="28"/>
          <w:rtl/>
        </w:rPr>
      </w:pPr>
      <w:r w:rsidRPr="003A5201">
        <w:rPr>
          <w:rFonts w:asciiTheme="majorBidi" w:hAnsiTheme="majorBidi" w:cstheme="majorBidi" w:hint="cs"/>
          <w:b/>
          <w:bCs/>
          <w:i/>
          <w:iCs/>
          <w:sz w:val="28"/>
          <w:szCs w:val="28"/>
          <w:rtl/>
        </w:rPr>
        <w:t>بحث فى : توحيد الصفات</w:t>
      </w:r>
    </w:p>
    <w:p w:rsidR="00DA7460" w:rsidRPr="003A5201" w:rsidRDefault="00DA7460" w:rsidP="0075402D">
      <w:pPr>
        <w:jc w:val="center"/>
        <w:rPr>
          <w:rFonts w:asciiTheme="majorBidi" w:eastAsia="Calibri" w:hAnsiTheme="majorBidi" w:cstheme="majorBidi"/>
          <w:b/>
          <w:bCs/>
          <w:i/>
          <w:iCs/>
          <w:color w:val="4F81BD"/>
          <w:sz w:val="28"/>
          <w:szCs w:val="28"/>
          <w:rtl/>
          <w:lang w:bidi="ar-EG"/>
        </w:rPr>
      </w:pPr>
    </w:p>
    <w:p w:rsidR="0075402D" w:rsidRPr="00DA7460" w:rsidRDefault="0075402D" w:rsidP="00DA7460">
      <w:pPr>
        <w:pStyle w:val="Author"/>
        <w:tabs>
          <w:tab w:val="left" w:pos="4366"/>
          <w:tab w:val="center" w:pos="5244"/>
        </w:tabs>
        <w:bidi/>
        <w:spacing w:before="0" w:after="0"/>
        <w:jc w:val="left"/>
        <w:rPr>
          <w:rFonts w:asciiTheme="majorBidi" w:hAnsiTheme="majorBidi" w:cstheme="majorBidi"/>
          <w:i/>
          <w:iCs/>
          <w:sz w:val="28"/>
          <w:szCs w:val="28"/>
          <w:lang w:eastAsia="zh-CN"/>
        </w:rPr>
      </w:pPr>
      <w:r w:rsidRPr="00DA7460">
        <w:rPr>
          <w:rFonts w:asciiTheme="majorBidi" w:hAnsiTheme="majorBidi" w:cstheme="majorBidi"/>
          <w:i/>
          <w:iCs/>
          <w:sz w:val="28"/>
          <w:szCs w:val="28"/>
          <w:rtl/>
          <w:lang w:eastAsia="zh-CN"/>
        </w:rPr>
        <w:tab/>
      </w:r>
      <w:r w:rsidRPr="00DA7460">
        <w:rPr>
          <w:rFonts w:asciiTheme="majorBidi" w:hAnsiTheme="majorBidi" w:cstheme="majorBidi"/>
          <w:i/>
          <w:iCs/>
          <w:sz w:val="28"/>
          <w:szCs w:val="28"/>
          <w:rtl/>
          <w:lang w:eastAsia="zh-CN"/>
        </w:rPr>
        <w:tab/>
        <w:t>إعداد /</w:t>
      </w:r>
      <w:r w:rsidR="00DA7460" w:rsidRPr="00DA7460">
        <w:rPr>
          <w:rFonts w:asciiTheme="majorBidi" w:hAnsiTheme="majorBidi" w:cstheme="majorBidi" w:hint="cs"/>
          <w:i/>
          <w:iCs/>
          <w:sz w:val="28"/>
          <w:szCs w:val="28"/>
          <w:rtl/>
          <w:lang w:eastAsia="zh-CN"/>
        </w:rPr>
        <w:t xml:space="preserve"> منة الله مجدى بهجت</w:t>
      </w:r>
    </w:p>
    <w:p w:rsidR="0075402D" w:rsidRPr="00DA7460" w:rsidRDefault="0075402D" w:rsidP="0075402D">
      <w:pPr>
        <w:pStyle w:val="Affiliation"/>
        <w:bidi/>
        <w:rPr>
          <w:rFonts w:asciiTheme="majorBidi" w:hAnsiTheme="majorBidi" w:cstheme="majorBidi"/>
          <w:i/>
          <w:iCs/>
          <w:sz w:val="28"/>
          <w:szCs w:val="28"/>
        </w:rPr>
      </w:pPr>
      <w:r w:rsidRPr="00DA7460">
        <w:rPr>
          <w:rFonts w:asciiTheme="majorBidi" w:hAnsiTheme="majorBidi" w:cstheme="majorBidi"/>
          <w:i/>
          <w:iCs/>
          <w:sz w:val="28"/>
          <w:szCs w:val="28"/>
          <w:rtl/>
        </w:rPr>
        <w:t>قسم الدعوة وأصول الدين</w:t>
      </w:r>
    </w:p>
    <w:p w:rsidR="0075402D" w:rsidRPr="00DA7460" w:rsidRDefault="0075402D" w:rsidP="0075402D">
      <w:pPr>
        <w:pStyle w:val="Affiliation"/>
        <w:bidi/>
        <w:rPr>
          <w:rFonts w:asciiTheme="majorBidi" w:hAnsiTheme="majorBidi" w:cstheme="majorBidi"/>
          <w:i/>
          <w:iCs/>
          <w:sz w:val="28"/>
          <w:szCs w:val="28"/>
        </w:rPr>
      </w:pPr>
      <w:r w:rsidRPr="00DA7460">
        <w:rPr>
          <w:rFonts w:asciiTheme="majorBidi" w:hAnsiTheme="majorBidi" w:cstheme="majorBidi"/>
          <w:i/>
          <w:iCs/>
          <w:sz w:val="28"/>
          <w:szCs w:val="28"/>
          <w:rtl/>
        </w:rPr>
        <w:t>كلية العلوم الإسلامية – جامعة المدينة العالمية</w:t>
      </w:r>
    </w:p>
    <w:p w:rsidR="0075402D" w:rsidRPr="00DA7460" w:rsidRDefault="0075402D" w:rsidP="0075402D">
      <w:pPr>
        <w:pStyle w:val="Affiliation"/>
        <w:bidi/>
        <w:rPr>
          <w:rFonts w:asciiTheme="majorBidi" w:hAnsiTheme="majorBidi" w:cstheme="majorBidi"/>
          <w:i/>
          <w:iCs/>
          <w:sz w:val="28"/>
          <w:szCs w:val="28"/>
          <w:rtl/>
        </w:rPr>
      </w:pPr>
      <w:r w:rsidRPr="00DA7460">
        <w:rPr>
          <w:rFonts w:asciiTheme="majorBidi" w:hAnsiTheme="majorBidi" w:cstheme="majorBidi"/>
          <w:i/>
          <w:iCs/>
          <w:sz w:val="28"/>
          <w:szCs w:val="28"/>
          <w:rtl/>
        </w:rPr>
        <w:t>شاه علم - ماليزيا</w:t>
      </w:r>
    </w:p>
    <w:p w:rsidR="0075402D" w:rsidRDefault="00DA7460" w:rsidP="0075402D">
      <w:pPr>
        <w:tabs>
          <w:tab w:val="left" w:pos="4050"/>
        </w:tabs>
        <w:jc w:val="center"/>
        <w:rPr>
          <w:rFonts w:hint="cs"/>
          <w:b/>
          <w:bCs/>
          <w:sz w:val="28"/>
          <w:szCs w:val="28"/>
          <w:rtl/>
          <w:lang w:bidi="ar-EG"/>
        </w:rPr>
      </w:pPr>
      <w:hyperlink r:id="rId5" w:history="1">
        <w:r w:rsidRPr="00DA7460">
          <w:rPr>
            <w:rFonts w:asciiTheme="majorBidi" w:eastAsia="SimSun" w:hAnsiTheme="majorBidi" w:cstheme="majorBidi"/>
            <w:i/>
            <w:iCs/>
            <w:lang w:eastAsia="zh-CN"/>
          </w:rPr>
          <w:t>Menna.Magdy@mediu.ws</w:t>
        </w:r>
      </w:hyperlink>
    </w:p>
    <w:p w:rsidR="00DA7460" w:rsidRDefault="00DA7460" w:rsidP="0075402D">
      <w:pPr>
        <w:tabs>
          <w:tab w:val="left" w:pos="4050"/>
        </w:tabs>
        <w:jc w:val="center"/>
        <w:rPr>
          <w:rFonts w:hint="cs"/>
          <w:b/>
          <w:bCs/>
          <w:sz w:val="28"/>
          <w:szCs w:val="28"/>
          <w:rtl/>
          <w:lang w:bidi="ar-EG"/>
        </w:rPr>
      </w:pPr>
    </w:p>
    <w:p w:rsidR="00DA7460" w:rsidRPr="003A5201" w:rsidRDefault="00DA7460" w:rsidP="0075402D">
      <w:pPr>
        <w:tabs>
          <w:tab w:val="left" w:pos="4050"/>
        </w:tabs>
        <w:jc w:val="center"/>
        <w:rPr>
          <w:rFonts w:asciiTheme="majorBidi" w:hAnsiTheme="majorBidi" w:cstheme="majorBidi"/>
          <w:b/>
          <w:bCs/>
          <w:i/>
          <w:iCs/>
          <w:sz w:val="28"/>
          <w:szCs w:val="28"/>
          <w:rtl/>
          <w:lang w:bidi="ar-EG"/>
        </w:rPr>
      </w:pPr>
    </w:p>
    <w:p w:rsidR="0075402D" w:rsidRDefault="0075402D" w:rsidP="0075402D">
      <w:pPr>
        <w:tabs>
          <w:tab w:val="left" w:pos="4050"/>
        </w:tabs>
        <w:jc w:val="center"/>
        <w:rPr>
          <w:rFonts w:asciiTheme="majorBidi" w:hAnsiTheme="majorBidi" w:cstheme="majorBidi"/>
          <w:b/>
          <w:bCs/>
          <w:i/>
          <w:iCs/>
          <w:sz w:val="18"/>
          <w:szCs w:val="18"/>
          <w:rtl/>
          <w:lang w:bidi="ar-EG"/>
        </w:rPr>
        <w:sectPr w:rsidR="0075402D" w:rsidSect="0075402D">
          <w:pgSz w:w="11906" w:h="16838"/>
          <w:pgMar w:top="731" w:right="737" w:bottom="2432" w:left="737" w:header="709" w:footer="709" w:gutter="0"/>
          <w:cols w:space="708"/>
          <w:bidi/>
          <w:rtlGutter/>
          <w:docGrid w:linePitch="360"/>
        </w:sectPr>
      </w:pPr>
    </w:p>
    <w:p w:rsidR="0075402D" w:rsidRPr="00FE0D55" w:rsidRDefault="0075402D" w:rsidP="0075402D">
      <w:pPr>
        <w:tabs>
          <w:tab w:val="left" w:pos="4050"/>
        </w:tabs>
        <w:jc w:val="center"/>
        <w:rPr>
          <w:rFonts w:asciiTheme="majorBidi" w:hAnsiTheme="majorBidi" w:cstheme="majorBidi"/>
          <w:b/>
          <w:bCs/>
          <w:i/>
          <w:iCs/>
          <w:sz w:val="18"/>
          <w:szCs w:val="18"/>
          <w:lang w:bidi="ar-EG"/>
        </w:rPr>
      </w:pPr>
    </w:p>
    <w:p w:rsidR="0075402D" w:rsidRPr="00916DA5" w:rsidRDefault="0075402D" w:rsidP="0075402D">
      <w:pPr>
        <w:rPr>
          <w:rFonts w:asciiTheme="majorBidi" w:eastAsia="Calibri" w:hAnsiTheme="majorBidi" w:cstheme="majorBidi"/>
          <w:b/>
          <w:bCs/>
          <w:sz w:val="18"/>
          <w:szCs w:val="18"/>
          <w:rtl/>
        </w:rPr>
      </w:pPr>
      <w:r w:rsidRPr="0075402D">
        <w:rPr>
          <w:rFonts w:asciiTheme="majorBidi" w:hAnsiTheme="majorBidi" w:cstheme="majorBidi" w:hint="cs"/>
          <w:b/>
          <w:bCs/>
          <w:sz w:val="18"/>
          <w:szCs w:val="18"/>
          <w:rtl/>
        </w:rPr>
        <w:t>خلاصة هذا البحث فى :</w:t>
      </w:r>
      <w:r w:rsidRPr="0075402D">
        <w:rPr>
          <w:rFonts w:asciiTheme="majorBidi" w:eastAsia="Calibri" w:hAnsiTheme="majorBidi" w:cstheme="majorBidi"/>
          <w:b/>
          <w:bCs/>
          <w:sz w:val="18"/>
          <w:szCs w:val="18"/>
          <w:rtl/>
        </w:rPr>
        <w:t xml:space="preserve"> القول في بعض الصفات كالقول في البعض الآخر</w:t>
      </w:r>
      <w:r>
        <w:rPr>
          <w:rFonts w:asciiTheme="majorBidi" w:eastAsia="Calibri" w:hAnsiTheme="majorBidi" w:cstheme="majorBidi"/>
          <w:b/>
          <w:bCs/>
          <w:sz w:val="18"/>
          <w:szCs w:val="18"/>
          <w:rtl/>
        </w:rPr>
        <w:tab/>
      </w:r>
    </w:p>
    <w:p w:rsidR="0075402D" w:rsidRPr="00916DA5" w:rsidRDefault="0075402D" w:rsidP="0075402D">
      <w:pPr>
        <w:tabs>
          <w:tab w:val="center" w:pos="5244"/>
          <w:tab w:val="left" w:pos="5752"/>
        </w:tabs>
        <w:rPr>
          <w:rFonts w:asciiTheme="majorBidi" w:eastAsia="Calibri" w:hAnsiTheme="majorBidi" w:cstheme="majorBidi"/>
          <w:b/>
          <w:bCs/>
          <w:sz w:val="18"/>
          <w:szCs w:val="18"/>
          <w:rtl/>
          <w:lang w:bidi="ar-EG"/>
        </w:rPr>
      </w:pPr>
      <w:r w:rsidRPr="00916DA5">
        <w:rPr>
          <w:rFonts w:asciiTheme="majorBidi" w:eastAsia="Calibri" w:hAnsiTheme="majorBidi" w:cstheme="majorBidi"/>
          <w:b/>
          <w:bCs/>
          <w:sz w:val="18"/>
          <w:szCs w:val="18"/>
          <w:rtl/>
        </w:rPr>
        <w:t xml:space="preserve">الكلمات </w:t>
      </w:r>
      <w:r>
        <w:rPr>
          <w:rFonts w:asciiTheme="majorBidi" w:eastAsia="Calibri" w:hAnsiTheme="majorBidi" w:cstheme="majorBidi" w:hint="cs"/>
          <w:b/>
          <w:bCs/>
          <w:sz w:val="18"/>
          <w:szCs w:val="18"/>
          <w:rtl/>
        </w:rPr>
        <w:t>الافتتاحيه : الاصل ، اعظم ، طبقاتهم</w:t>
      </w:r>
      <w:r>
        <w:rPr>
          <w:rFonts w:asciiTheme="majorBidi" w:eastAsia="Calibri" w:hAnsiTheme="majorBidi" w:cstheme="majorBidi"/>
          <w:b/>
          <w:bCs/>
          <w:sz w:val="18"/>
          <w:szCs w:val="18"/>
          <w:rtl/>
        </w:rPr>
        <w:tab/>
      </w:r>
      <w:r>
        <w:rPr>
          <w:rFonts w:asciiTheme="majorBidi" w:eastAsia="Calibri" w:hAnsiTheme="majorBidi" w:cstheme="majorBidi"/>
          <w:b/>
          <w:bCs/>
          <w:sz w:val="18"/>
          <w:szCs w:val="18"/>
          <w:rtl/>
        </w:rPr>
        <w:tab/>
      </w:r>
    </w:p>
    <w:p w:rsidR="0075402D" w:rsidRPr="00916DA5" w:rsidRDefault="0075402D" w:rsidP="0075402D">
      <w:pPr>
        <w:pStyle w:val="ListParagraph"/>
        <w:numPr>
          <w:ilvl w:val="0"/>
          <w:numId w:val="4"/>
        </w:numPr>
        <w:spacing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75402D" w:rsidRPr="00916DA5" w:rsidRDefault="0075402D" w:rsidP="0075402D">
      <w:pPr>
        <w:rPr>
          <w:rFonts w:asciiTheme="majorBidi" w:hAnsiTheme="majorBidi" w:cstheme="majorBidi"/>
          <w:b/>
          <w:bCs/>
          <w:sz w:val="18"/>
          <w:szCs w:val="18"/>
          <w:rtl/>
        </w:rPr>
      </w:pPr>
      <w:r w:rsidRPr="00916DA5">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75402D">
        <w:rPr>
          <w:rFonts w:asciiTheme="majorBidi" w:eastAsia="Calibri" w:hAnsiTheme="majorBidi" w:cstheme="majorBidi"/>
          <w:b/>
          <w:bCs/>
          <w:sz w:val="18"/>
          <w:szCs w:val="18"/>
          <w:rtl/>
        </w:rPr>
        <w:t>القول في بعض الصفات كالقول في البعض الآخر</w:t>
      </w:r>
    </w:p>
    <w:p w:rsidR="0075402D" w:rsidRPr="0075402D" w:rsidRDefault="0075402D" w:rsidP="0075402D">
      <w:pPr>
        <w:jc w:val="center"/>
        <w:rPr>
          <w:rFonts w:asciiTheme="majorBidi" w:eastAsia="Calibri" w:hAnsiTheme="majorBidi" w:cstheme="majorBidi"/>
          <w:b/>
          <w:bCs/>
          <w:sz w:val="44"/>
          <w:szCs w:val="44"/>
        </w:rPr>
      </w:pPr>
      <w:r>
        <w:rPr>
          <w:rFonts w:eastAsia="SimSun" w:hint="cs"/>
          <w:b/>
          <w:bCs/>
          <w:i/>
          <w:iCs/>
          <w:sz w:val="20"/>
          <w:szCs w:val="20"/>
          <w:rtl/>
          <w:lang w:eastAsia="zh-CN"/>
        </w:rPr>
        <w:t>. موضوع المقالة</w:t>
      </w:r>
    </w:p>
    <w:p w:rsidR="0075402D" w:rsidRPr="0075402D" w:rsidRDefault="0075402D" w:rsidP="0075402D">
      <w:pPr>
        <w:pStyle w:val="NormalWeb"/>
        <w:bidi/>
        <w:spacing w:before="0" w:beforeAutospacing="0" w:after="0" w:afterAutospacing="0"/>
        <w:jc w:val="lowKashida"/>
        <w:rPr>
          <w:sz w:val="18"/>
          <w:szCs w:val="18"/>
        </w:rPr>
      </w:pPr>
      <w:r w:rsidRPr="0075402D">
        <w:rPr>
          <w:sz w:val="18"/>
          <w:szCs w:val="18"/>
          <w:rtl/>
        </w:rPr>
        <w:t xml:space="preserve">هذا الأصل أو هذه القاعدة: من أعظم الأصول والقواعد في باب الأسماء والصفات، ومن أهمها في بيان تناقض الخصوم من أهل الكلام </w:t>
      </w:r>
      <w:r w:rsidRPr="0075402D">
        <w:rPr>
          <w:rFonts w:cs="Traditional Arabic"/>
          <w:sz w:val="18"/>
          <w:szCs w:val="18"/>
          <w:rtl/>
        </w:rPr>
        <w:t>-</w:t>
      </w:r>
      <w:r w:rsidRPr="0075402D">
        <w:rPr>
          <w:sz w:val="18"/>
          <w:szCs w:val="18"/>
          <w:rtl/>
        </w:rPr>
        <w:t>على مختلف طبقاتهم ودرجاتهم في هذا الباب</w:t>
      </w:r>
      <w:r w:rsidRPr="0075402D">
        <w:rPr>
          <w:rFonts w:cs="Traditional Arabic"/>
          <w:sz w:val="18"/>
          <w:szCs w:val="18"/>
          <w:rtl/>
        </w:rPr>
        <w:t>-</w:t>
      </w:r>
      <w:r w:rsidRPr="0075402D">
        <w:rPr>
          <w:sz w:val="18"/>
          <w:szCs w:val="18"/>
          <w:rtl/>
        </w:rPr>
        <w:t xml:space="preserve"> كما أنها مشتملة على جوانب عظيمة في إقناع من يتردد في صحة مذهب السلف، أو يخالطه شك أو شبهة مما ينثره أهل الكلام في كتبهم ومقالاتهم. </w:t>
      </w:r>
    </w:p>
    <w:p w:rsidR="0075402D" w:rsidRPr="0075402D" w:rsidRDefault="0075402D" w:rsidP="0075402D">
      <w:pPr>
        <w:pStyle w:val="NormalWeb"/>
        <w:bidi/>
        <w:spacing w:before="0" w:beforeAutospacing="0" w:after="0" w:afterAutospacing="0"/>
        <w:jc w:val="lowKashida"/>
        <w:rPr>
          <w:sz w:val="18"/>
          <w:szCs w:val="18"/>
        </w:rPr>
      </w:pPr>
      <w:r w:rsidRPr="0075402D">
        <w:rPr>
          <w:sz w:val="18"/>
          <w:szCs w:val="18"/>
          <w:rtl/>
        </w:rPr>
        <w:t xml:space="preserve">وقبل الدخول في تفاصيل هذا الأصل </w:t>
      </w:r>
      <w:r w:rsidRPr="0075402D">
        <w:rPr>
          <w:rFonts w:cs="Traditional Arabic"/>
          <w:sz w:val="18"/>
          <w:szCs w:val="18"/>
          <w:rtl/>
        </w:rPr>
        <w:t>-</w:t>
      </w:r>
      <w:r w:rsidRPr="0075402D">
        <w:rPr>
          <w:sz w:val="18"/>
          <w:szCs w:val="18"/>
          <w:rtl/>
        </w:rPr>
        <w:t>أو هذه القاعدة</w:t>
      </w:r>
      <w:r w:rsidRPr="0075402D">
        <w:rPr>
          <w:rFonts w:cs="Traditional Arabic"/>
          <w:sz w:val="18"/>
          <w:szCs w:val="18"/>
          <w:rtl/>
        </w:rPr>
        <w:t>-</w:t>
      </w:r>
      <w:r w:rsidRPr="0075402D">
        <w:rPr>
          <w:sz w:val="18"/>
          <w:szCs w:val="18"/>
          <w:rtl/>
        </w:rPr>
        <w:t xml:space="preserve"> يمكن إجمال ما اشتملت عليه من الأصول والقواعد بما يلي:</w:t>
      </w:r>
    </w:p>
    <w:p w:rsidR="0075402D" w:rsidRPr="0075402D" w:rsidRDefault="0075402D" w:rsidP="0075402D">
      <w:pPr>
        <w:pStyle w:val="NormalWeb"/>
        <w:bidi/>
        <w:spacing w:before="0" w:beforeAutospacing="0" w:after="0" w:afterAutospacing="0"/>
        <w:jc w:val="lowKashida"/>
        <w:rPr>
          <w:sz w:val="18"/>
          <w:szCs w:val="18"/>
        </w:rPr>
      </w:pPr>
      <w:r w:rsidRPr="0075402D">
        <w:rPr>
          <w:sz w:val="18"/>
          <w:szCs w:val="18"/>
          <w:rtl/>
        </w:rPr>
        <w:t>أولًا: أن من نفى بعض الصفات، وأثبت البعض الآخر، لزمه فيما أثبته نظير ما يلزمه فيما نفاه.</w:t>
      </w:r>
    </w:p>
    <w:p w:rsidR="0075402D" w:rsidRPr="0075402D" w:rsidRDefault="0075402D" w:rsidP="0075402D">
      <w:pPr>
        <w:pStyle w:val="NormalWeb"/>
        <w:bidi/>
        <w:spacing w:before="0" w:beforeAutospacing="0" w:after="0" w:afterAutospacing="0"/>
        <w:jc w:val="lowKashida"/>
        <w:rPr>
          <w:sz w:val="18"/>
          <w:szCs w:val="18"/>
        </w:rPr>
      </w:pPr>
      <w:r w:rsidRPr="0075402D">
        <w:rPr>
          <w:sz w:val="18"/>
          <w:szCs w:val="18"/>
          <w:rtl/>
        </w:rPr>
        <w:t>ثانيًا: وأن عدم الدليل المعين لا يستلزم عدم المدلول المعين، لأنه قد يكون ثبت بدليل آخر غير هذا الدليل.</w:t>
      </w:r>
    </w:p>
    <w:p w:rsidR="0075402D" w:rsidRPr="0075402D" w:rsidRDefault="0075402D" w:rsidP="0075402D">
      <w:pPr>
        <w:pStyle w:val="NormalWeb"/>
        <w:bidi/>
        <w:spacing w:before="0" w:beforeAutospacing="0" w:after="0" w:afterAutospacing="0"/>
        <w:jc w:val="lowKashida"/>
        <w:rPr>
          <w:sz w:val="18"/>
          <w:szCs w:val="18"/>
        </w:rPr>
      </w:pPr>
      <w:r w:rsidRPr="0075402D">
        <w:rPr>
          <w:sz w:val="18"/>
          <w:szCs w:val="18"/>
          <w:rtl/>
        </w:rPr>
        <w:t>ثالثًا: أن كل من أول صفة لزمه فيما أوله نظير ما ظن أنه يلزمه فيما فر منه.</w:t>
      </w:r>
    </w:p>
    <w:p w:rsidR="0075402D" w:rsidRPr="0075402D" w:rsidRDefault="0075402D" w:rsidP="0075402D">
      <w:pPr>
        <w:pStyle w:val="NormalWeb"/>
        <w:bidi/>
        <w:spacing w:before="0" w:beforeAutospacing="0" w:after="0" w:afterAutospacing="0"/>
        <w:jc w:val="lowKashida"/>
        <w:rPr>
          <w:sz w:val="18"/>
          <w:szCs w:val="18"/>
        </w:rPr>
      </w:pPr>
      <w:r w:rsidRPr="0075402D">
        <w:rPr>
          <w:sz w:val="18"/>
          <w:szCs w:val="18"/>
          <w:rtl/>
        </w:rPr>
        <w:t>رابعًا: أن دلالة السمع والعقل على الصفات واحدة:</w:t>
      </w:r>
    </w:p>
    <w:p w:rsidR="0075402D" w:rsidRPr="0075402D" w:rsidRDefault="0075402D" w:rsidP="0075402D">
      <w:pPr>
        <w:pStyle w:val="NormalWeb"/>
        <w:numPr>
          <w:ilvl w:val="0"/>
          <w:numId w:val="2"/>
        </w:numPr>
        <w:tabs>
          <w:tab w:val="clear" w:pos="720"/>
          <w:tab w:val="num" w:pos="559"/>
        </w:tabs>
        <w:bidi/>
        <w:spacing w:before="0" w:beforeAutospacing="0" w:after="0" w:afterAutospacing="0"/>
        <w:ind w:left="559" w:hanging="199"/>
        <w:jc w:val="lowKashida"/>
        <w:rPr>
          <w:sz w:val="18"/>
          <w:szCs w:val="18"/>
        </w:rPr>
      </w:pPr>
      <w:r w:rsidRPr="0075402D">
        <w:rPr>
          <w:sz w:val="18"/>
          <w:szCs w:val="18"/>
          <w:rtl/>
        </w:rPr>
        <w:t>فإذا كان السمع قد دل على الصفات السبع، فقد دل أيضًا على غيرها، ووجه الدلالة وقوة النص واحدة.</w:t>
      </w:r>
    </w:p>
    <w:p w:rsidR="0075402D" w:rsidRPr="0075402D" w:rsidRDefault="0075402D" w:rsidP="0075402D">
      <w:pPr>
        <w:pStyle w:val="NormalWeb"/>
        <w:numPr>
          <w:ilvl w:val="0"/>
          <w:numId w:val="2"/>
        </w:numPr>
        <w:tabs>
          <w:tab w:val="clear" w:pos="720"/>
          <w:tab w:val="num" w:pos="559"/>
        </w:tabs>
        <w:bidi/>
        <w:spacing w:before="0" w:beforeAutospacing="0" w:after="0" w:afterAutospacing="0"/>
        <w:ind w:left="559" w:hanging="199"/>
        <w:jc w:val="lowKashida"/>
        <w:rPr>
          <w:sz w:val="18"/>
          <w:szCs w:val="18"/>
        </w:rPr>
      </w:pPr>
      <w:r w:rsidRPr="0075402D">
        <w:rPr>
          <w:sz w:val="18"/>
          <w:szCs w:val="18"/>
          <w:rtl/>
        </w:rPr>
        <w:t>وإذا دل العقل على الصفات السبع، فيمكن أن يدل العقل على غيرها، مما ينفيه هؤلاء.</w:t>
      </w:r>
    </w:p>
    <w:p w:rsidR="0075402D" w:rsidRPr="0075402D" w:rsidRDefault="0075402D" w:rsidP="0075402D">
      <w:pPr>
        <w:pStyle w:val="NormalWeb"/>
        <w:bidi/>
        <w:spacing w:before="0" w:beforeAutospacing="0" w:after="0" w:afterAutospacing="0"/>
        <w:jc w:val="lowKashida"/>
        <w:rPr>
          <w:sz w:val="18"/>
          <w:szCs w:val="18"/>
        </w:rPr>
      </w:pPr>
      <w:r w:rsidRPr="0075402D">
        <w:rPr>
          <w:sz w:val="18"/>
          <w:szCs w:val="18"/>
          <w:rtl/>
        </w:rPr>
        <w:t>خامسًا: أنه يقال للأشعري نظير ما يقوله هو للمعتزلي في مسألة الأسماء.</w:t>
      </w:r>
    </w:p>
    <w:p w:rsidR="0075402D" w:rsidRPr="0075402D" w:rsidRDefault="0075402D" w:rsidP="0075402D">
      <w:pPr>
        <w:pStyle w:val="NormalWeb"/>
        <w:bidi/>
        <w:spacing w:before="0" w:beforeAutospacing="0" w:after="0" w:afterAutospacing="0"/>
        <w:jc w:val="lowKashida"/>
        <w:rPr>
          <w:sz w:val="18"/>
          <w:szCs w:val="18"/>
        </w:rPr>
      </w:pPr>
      <w:r w:rsidRPr="0075402D">
        <w:rPr>
          <w:sz w:val="18"/>
          <w:szCs w:val="18"/>
          <w:rtl/>
        </w:rPr>
        <w:t>سادسًا: أنّ هذا الأصل يُمكن أن يرد به على جميع النفاة:</w:t>
      </w:r>
    </w:p>
    <w:p w:rsidR="0075402D" w:rsidRPr="0075402D" w:rsidRDefault="0075402D" w:rsidP="0075402D">
      <w:pPr>
        <w:pStyle w:val="NormalWeb"/>
        <w:numPr>
          <w:ilvl w:val="0"/>
          <w:numId w:val="1"/>
        </w:numPr>
        <w:tabs>
          <w:tab w:val="clear" w:pos="720"/>
          <w:tab w:val="num" w:pos="601"/>
        </w:tabs>
        <w:bidi/>
        <w:spacing w:before="0" w:beforeAutospacing="0" w:after="0" w:afterAutospacing="0"/>
        <w:jc w:val="lowKashida"/>
        <w:rPr>
          <w:sz w:val="18"/>
          <w:szCs w:val="18"/>
        </w:rPr>
      </w:pPr>
      <w:r w:rsidRPr="0075402D">
        <w:rPr>
          <w:sz w:val="18"/>
          <w:szCs w:val="18"/>
          <w:rtl/>
        </w:rPr>
        <w:t>الأشعري الذي يثبت بعض الصفات دون بعض.</w:t>
      </w:r>
    </w:p>
    <w:p w:rsidR="0075402D" w:rsidRPr="0075402D" w:rsidRDefault="0075402D" w:rsidP="0075402D">
      <w:pPr>
        <w:pStyle w:val="NormalWeb"/>
        <w:numPr>
          <w:ilvl w:val="0"/>
          <w:numId w:val="1"/>
        </w:numPr>
        <w:tabs>
          <w:tab w:val="clear" w:pos="720"/>
          <w:tab w:val="num" w:pos="601"/>
        </w:tabs>
        <w:bidi/>
        <w:spacing w:before="0" w:beforeAutospacing="0" w:after="0" w:afterAutospacing="0"/>
        <w:jc w:val="lowKashida"/>
        <w:rPr>
          <w:sz w:val="18"/>
          <w:szCs w:val="18"/>
        </w:rPr>
      </w:pPr>
      <w:r w:rsidRPr="0075402D">
        <w:rPr>
          <w:sz w:val="18"/>
          <w:szCs w:val="18"/>
          <w:rtl/>
        </w:rPr>
        <w:t>المعتزلي الذي يثبت الأسماء وينفي الصفات.</w:t>
      </w:r>
    </w:p>
    <w:p w:rsidR="0075402D" w:rsidRPr="0075402D" w:rsidRDefault="0075402D" w:rsidP="0075402D">
      <w:pPr>
        <w:pStyle w:val="NormalWeb"/>
        <w:numPr>
          <w:ilvl w:val="0"/>
          <w:numId w:val="1"/>
        </w:numPr>
        <w:tabs>
          <w:tab w:val="clear" w:pos="720"/>
          <w:tab w:val="num" w:pos="601"/>
        </w:tabs>
        <w:bidi/>
        <w:spacing w:before="0" w:beforeAutospacing="0" w:after="0" w:afterAutospacing="0"/>
        <w:jc w:val="lowKashida"/>
        <w:rPr>
          <w:sz w:val="18"/>
          <w:szCs w:val="18"/>
        </w:rPr>
      </w:pPr>
      <w:r w:rsidRPr="0075402D">
        <w:rPr>
          <w:sz w:val="18"/>
          <w:szCs w:val="18"/>
          <w:rtl/>
        </w:rPr>
        <w:t>والجهمي الذي ينفي الأسماء والصفات، ولكن يقر بأن الله شيء وأنه موجود.</w:t>
      </w:r>
    </w:p>
    <w:p w:rsidR="0075402D" w:rsidRPr="0075402D" w:rsidRDefault="0075402D" w:rsidP="0075402D">
      <w:pPr>
        <w:pStyle w:val="NormalWeb"/>
        <w:numPr>
          <w:ilvl w:val="0"/>
          <w:numId w:val="1"/>
        </w:numPr>
        <w:tabs>
          <w:tab w:val="clear" w:pos="720"/>
          <w:tab w:val="num" w:pos="601"/>
        </w:tabs>
        <w:bidi/>
        <w:spacing w:before="0" w:beforeAutospacing="0" w:after="0" w:afterAutospacing="0"/>
        <w:jc w:val="lowKashida"/>
        <w:rPr>
          <w:sz w:val="18"/>
          <w:szCs w:val="18"/>
        </w:rPr>
      </w:pPr>
      <w:r w:rsidRPr="0075402D">
        <w:rPr>
          <w:sz w:val="18"/>
          <w:szCs w:val="18"/>
          <w:rtl/>
        </w:rPr>
        <w:t>والغلاة: الذين يسلبون النقيضين.</w:t>
      </w:r>
    </w:p>
    <w:p w:rsidR="0075402D" w:rsidRPr="0075402D" w:rsidRDefault="0075402D" w:rsidP="0075402D">
      <w:pPr>
        <w:pStyle w:val="NormalWeb"/>
        <w:bidi/>
        <w:spacing w:before="0" w:beforeAutospacing="0" w:after="0" w:afterAutospacing="0"/>
        <w:jc w:val="lowKashida"/>
        <w:rPr>
          <w:sz w:val="18"/>
          <w:szCs w:val="18"/>
        </w:rPr>
      </w:pPr>
      <w:r w:rsidRPr="0075402D">
        <w:rPr>
          <w:sz w:val="18"/>
          <w:szCs w:val="18"/>
          <w:rtl/>
        </w:rPr>
        <w:t>وقد استخدم الأئمة هذا الأصل في الرد على هؤلاء جميعًا، وبيان تناقضهم.</w:t>
      </w:r>
    </w:p>
    <w:p w:rsidR="0075402D" w:rsidRPr="0075402D" w:rsidRDefault="0075402D" w:rsidP="0075402D">
      <w:pPr>
        <w:pStyle w:val="NormalWeb"/>
        <w:bidi/>
        <w:spacing w:before="0" w:beforeAutospacing="0" w:after="0" w:afterAutospacing="0"/>
        <w:jc w:val="lowKashida"/>
        <w:rPr>
          <w:sz w:val="18"/>
          <w:szCs w:val="18"/>
        </w:rPr>
      </w:pPr>
      <w:r w:rsidRPr="0075402D">
        <w:rPr>
          <w:sz w:val="18"/>
          <w:szCs w:val="18"/>
          <w:rtl/>
        </w:rPr>
        <w:t xml:space="preserve">سبق </w:t>
      </w:r>
      <w:r w:rsidRPr="0075402D">
        <w:rPr>
          <w:rFonts w:cs="Traditional Arabic"/>
          <w:sz w:val="18"/>
          <w:szCs w:val="18"/>
          <w:rtl/>
        </w:rPr>
        <w:t>-</w:t>
      </w:r>
      <w:r w:rsidRPr="0075402D">
        <w:rPr>
          <w:sz w:val="18"/>
          <w:szCs w:val="18"/>
          <w:rtl/>
        </w:rPr>
        <w:t>في مبحث الأسماء</w:t>
      </w:r>
      <w:r w:rsidRPr="0075402D">
        <w:rPr>
          <w:rFonts w:cs="Traditional Arabic"/>
          <w:sz w:val="18"/>
          <w:szCs w:val="18"/>
          <w:rtl/>
        </w:rPr>
        <w:t>-</w:t>
      </w:r>
      <w:r w:rsidRPr="0075402D">
        <w:rPr>
          <w:sz w:val="18"/>
          <w:szCs w:val="18"/>
          <w:rtl/>
        </w:rPr>
        <w:t xml:space="preserve"> أن الأشاعرة وإن أثبتوا أسماء الله بإجمال، إلا أنهم يتأولون في بعض هذه الأسماء ما تدل عليه من الصفات، فمثلًا يثبتون من أسمائه تعالى: الرحيم، والعلي، والودود، ولكنهم حينما يفسرونها يتأولونها كما يتأولون صفة الرحمة، والعلو، والمحبة، وغيرها.</w:t>
      </w:r>
    </w:p>
    <w:p w:rsidR="0075402D" w:rsidRPr="0075402D" w:rsidRDefault="0075402D" w:rsidP="0075402D">
      <w:pPr>
        <w:pStyle w:val="NormalWeb"/>
        <w:bidi/>
        <w:spacing w:before="0" w:beforeAutospacing="0" w:after="0" w:afterAutospacing="0"/>
        <w:jc w:val="lowKashida"/>
        <w:rPr>
          <w:sz w:val="18"/>
          <w:szCs w:val="18"/>
        </w:rPr>
      </w:pPr>
      <w:r w:rsidRPr="0075402D">
        <w:rPr>
          <w:sz w:val="18"/>
          <w:szCs w:val="18"/>
          <w:rtl/>
        </w:rPr>
        <w:t>أما العليمُ والقدير؛ فلا يتأولونه، كذلك هم في الصفات يثبتون السمع والبصر والكلام والإرادة، ويتأولون غيرها كالرحمة والرّضا والغضب وغيرها.</w:t>
      </w:r>
    </w:p>
    <w:p w:rsidR="0075402D" w:rsidRPr="0075402D" w:rsidRDefault="0075402D" w:rsidP="0075402D">
      <w:pPr>
        <w:pStyle w:val="NormalWeb"/>
        <w:bidi/>
        <w:spacing w:before="0" w:beforeAutospacing="0" w:after="0" w:afterAutospacing="0"/>
        <w:jc w:val="lowKashida"/>
        <w:rPr>
          <w:sz w:val="18"/>
          <w:szCs w:val="18"/>
        </w:rPr>
      </w:pPr>
      <w:r w:rsidRPr="0075402D">
        <w:rPr>
          <w:sz w:val="18"/>
          <w:szCs w:val="18"/>
          <w:rtl/>
        </w:rPr>
        <w:t>فيُبيَّن تناقضُهم في ذلك كله بأن يقال: "من أقر بفهم بعض مع</w:t>
      </w:r>
      <w:r w:rsidRPr="0075402D">
        <w:rPr>
          <w:rFonts w:hint="cs"/>
          <w:sz w:val="18"/>
          <w:szCs w:val="18"/>
          <w:rtl/>
        </w:rPr>
        <w:t>اني</w:t>
      </w:r>
      <w:r w:rsidRPr="0075402D">
        <w:rPr>
          <w:sz w:val="18"/>
          <w:szCs w:val="18"/>
          <w:rtl/>
        </w:rPr>
        <w:t xml:space="preserve"> الأسماء والصفات دون بعض، فيقال له: ما الفرق بين ما أثبته وبين ما نفيته؟ أو أمسكت عن إثباته ونفيه؟</w:t>
      </w:r>
    </w:p>
    <w:p w:rsidR="0075402D" w:rsidRPr="0075402D" w:rsidRDefault="0075402D" w:rsidP="0075402D">
      <w:pPr>
        <w:pStyle w:val="NormalWeb"/>
        <w:bidi/>
        <w:spacing w:before="0" w:beforeAutospacing="0" w:after="0" w:afterAutospacing="0"/>
        <w:jc w:val="lowKashida"/>
        <w:rPr>
          <w:sz w:val="18"/>
          <w:szCs w:val="18"/>
        </w:rPr>
      </w:pPr>
      <w:r w:rsidRPr="0075402D">
        <w:rPr>
          <w:sz w:val="18"/>
          <w:szCs w:val="18"/>
          <w:rtl/>
        </w:rPr>
        <w:t>فإن الفرق: إما أن يكون من جهة السمع. أو من جهة العقل بأن أحد المعنيين يجب إثباته دون الآخر. وكلا الوجهين باطل بأكثر المواضع.</w:t>
      </w:r>
    </w:p>
    <w:p w:rsidR="0075402D" w:rsidRPr="0075402D" w:rsidRDefault="0075402D" w:rsidP="0075402D">
      <w:pPr>
        <w:pStyle w:val="NormalWeb"/>
        <w:bidi/>
        <w:spacing w:before="0" w:beforeAutospacing="0" w:after="0" w:afterAutospacing="0"/>
        <w:jc w:val="lowKashida"/>
        <w:rPr>
          <w:sz w:val="18"/>
          <w:szCs w:val="18"/>
        </w:rPr>
      </w:pPr>
      <w:r w:rsidRPr="0075402D">
        <w:rPr>
          <w:sz w:val="18"/>
          <w:szCs w:val="18"/>
          <w:rtl/>
        </w:rPr>
        <w:t>أما الأول: فدلالة القرآن على أنه: رحمن، رحيم، ودود، سميع</w:t>
      </w:r>
      <w:r w:rsidRPr="0075402D">
        <w:rPr>
          <w:rFonts w:hint="cs"/>
          <w:sz w:val="18"/>
          <w:szCs w:val="18"/>
          <w:rtl/>
        </w:rPr>
        <w:t>،</w:t>
      </w:r>
      <w:r w:rsidRPr="0075402D">
        <w:rPr>
          <w:sz w:val="18"/>
          <w:szCs w:val="18"/>
          <w:rtl/>
        </w:rPr>
        <w:t xml:space="preserve"> بصير، عليّ، عظيم، كدلالته على أنه: عليم، قدير، ليس بينهما فرق من جهة النص، وكذلك ذكره لرحمته، ومحبته، وعلوه، مثل ذكره لمشيئته وإرادته.</w:t>
      </w:r>
    </w:p>
    <w:p w:rsidR="0075402D" w:rsidRPr="0075402D" w:rsidRDefault="0075402D" w:rsidP="0075402D">
      <w:pPr>
        <w:pStyle w:val="NormalWeb"/>
        <w:bidi/>
        <w:spacing w:before="0" w:beforeAutospacing="0" w:after="0" w:afterAutospacing="0"/>
        <w:jc w:val="lowKashida"/>
        <w:rPr>
          <w:sz w:val="18"/>
          <w:szCs w:val="18"/>
        </w:rPr>
      </w:pPr>
      <w:r w:rsidRPr="0075402D">
        <w:rPr>
          <w:sz w:val="18"/>
          <w:szCs w:val="18"/>
          <w:rtl/>
        </w:rPr>
        <w:t>وأما الثاني: فيقال: من أثبت شيئًا ونفى آخر: لم نفيت مثلًا حقيقة رحمته، ومحبته، وأعدت ذلك إلى إرادته؟.</w:t>
      </w:r>
    </w:p>
    <w:p w:rsidR="0075402D" w:rsidRPr="0075402D" w:rsidRDefault="0075402D" w:rsidP="0075402D">
      <w:pPr>
        <w:pStyle w:val="NormalWeb"/>
        <w:bidi/>
        <w:spacing w:before="0" w:beforeAutospacing="0" w:after="0" w:afterAutospacing="0"/>
        <w:jc w:val="lowKashida"/>
        <w:rPr>
          <w:sz w:val="18"/>
          <w:szCs w:val="18"/>
        </w:rPr>
      </w:pPr>
      <w:r w:rsidRPr="0075402D">
        <w:rPr>
          <w:sz w:val="18"/>
          <w:szCs w:val="18"/>
          <w:rtl/>
        </w:rPr>
        <w:t>فإن قال: لأنّ المفهوم من الرحمة رقة تمتنع على الله.</w:t>
      </w:r>
    </w:p>
    <w:p w:rsidR="0075402D" w:rsidRPr="0075402D" w:rsidRDefault="0075402D" w:rsidP="0075402D">
      <w:pPr>
        <w:pStyle w:val="NormalWeb"/>
        <w:bidi/>
        <w:spacing w:before="0" w:beforeAutospacing="0" w:after="0" w:afterAutospacing="0"/>
        <w:jc w:val="lowKashida"/>
        <w:rPr>
          <w:sz w:val="18"/>
          <w:szCs w:val="18"/>
        </w:rPr>
      </w:pPr>
      <w:r w:rsidRPr="0075402D">
        <w:rPr>
          <w:sz w:val="18"/>
          <w:szCs w:val="18"/>
          <w:rtl/>
        </w:rPr>
        <w:lastRenderedPageBreak/>
        <w:t>قيل له: والمعنى المفهوم من الإرادة في حقنا هي ميل يمتنع على الله.</w:t>
      </w:r>
    </w:p>
    <w:p w:rsidR="0075402D" w:rsidRPr="0075402D" w:rsidRDefault="0075402D" w:rsidP="0075402D">
      <w:pPr>
        <w:pStyle w:val="NormalWeb"/>
        <w:bidi/>
        <w:spacing w:before="0" w:beforeAutospacing="0" w:after="0" w:afterAutospacing="0"/>
        <w:jc w:val="lowKashida"/>
        <w:rPr>
          <w:sz w:val="18"/>
          <w:szCs w:val="18"/>
        </w:rPr>
      </w:pPr>
      <w:r w:rsidRPr="0075402D">
        <w:rPr>
          <w:sz w:val="18"/>
          <w:szCs w:val="18"/>
          <w:rtl/>
        </w:rPr>
        <w:t>فإن قال: إرادته ليست من جنس إرادة خلقه.</w:t>
      </w:r>
    </w:p>
    <w:p w:rsidR="0075402D" w:rsidRPr="0075402D" w:rsidRDefault="0075402D" w:rsidP="0075402D">
      <w:pPr>
        <w:pStyle w:val="NormalWeb"/>
        <w:bidi/>
        <w:spacing w:before="0" w:beforeAutospacing="0" w:after="0" w:afterAutospacing="0"/>
        <w:jc w:val="lowKashida"/>
        <w:rPr>
          <w:sz w:val="18"/>
          <w:szCs w:val="18"/>
        </w:rPr>
      </w:pPr>
      <w:r w:rsidRPr="0075402D">
        <w:rPr>
          <w:sz w:val="18"/>
          <w:szCs w:val="18"/>
          <w:rtl/>
        </w:rPr>
        <w:t>قيل له: ورحمته ليست من جنس رحمة خلقه، وكذلك محبته.</w:t>
      </w:r>
    </w:p>
    <w:p w:rsidR="0075402D" w:rsidRPr="0075402D" w:rsidRDefault="0075402D" w:rsidP="0075402D">
      <w:pPr>
        <w:pStyle w:val="NormalWeb"/>
        <w:bidi/>
        <w:spacing w:before="0" w:beforeAutospacing="0" w:after="0" w:afterAutospacing="0"/>
        <w:jc w:val="lowKashida"/>
        <w:rPr>
          <w:sz w:val="18"/>
          <w:szCs w:val="18"/>
        </w:rPr>
      </w:pPr>
      <w:r w:rsidRPr="0075402D">
        <w:rPr>
          <w:sz w:val="18"/>
          <w:szCs w:val="18"/>
          <w:rtl/>
        </w:rPr>
        <w:t>وإذا قال: لم أثبت الإرادة وغيرها بالسمع، وإنما أثبت العلم والقدرة والإرادة بالعقل، وكذلك السمع والبصر والكلام، على أحد الطريقتين؛ لأن العقل دل على القدرة، والإحكام دل على العلم، والتخصيص دل على الإرادة.</w:t>
      </w:r>
    </w:p>
    <w:p w:rsidR="0075402D" w:rsidRPr="0075402D" w:rsidRDefault="0075402D" w:rsidP="0075402D">
      <w:pPr>
        <w:pStyle w:val="NormalWeb"/>
        <w:bidi/>
        <w:spacing w:before="0" w:beforeAutospacing="0" w:after="0" w:afterAutospacing="0"/>
        <w:jc w:val="lowKashida"/>
        <w:rPr>
          <w:sz w:val="18"/>
          <w:szCs w:val="18"/>
        </w:rPr>
      </w:pPr>
      <w:r w:rsidRPr="0075402D">
        <w:rPr>
          <w:sz w:val="18"/>
          <w:szCs w:val="18"/>
          <w:rtl/>
        </w:rPr>
        <w:t>قيل له: الجواب من ثلاثة أوجه:</w:t>
      </w:r>
    </w:p>
    <w:p w:rsidR="0075402D" w:rsidRPr="0075402D" w:rsidRDefault="0075402D" w:rsidP="0075402D">
      <w:pPr>
        <w:pStyle w:val="NormalWeb"/>
        <w:bidi/>
        <w:spacing w:before="0" w:beforeAutospacing="0" w:after="0" w:afterAutospacing="0"/>
        <w:jc w:val="lowKashida"/>
        <w:rPr>
          <w:sz w:val="18"/>
          <w:szCs w:val="18"/>
        </w:rPr>
      </w:pPr>
      <w:r w:rsidRPr="0075402D">
        <w:rPr>
          <w:sz w:val="18"/>
          <w:szCs w:val="18"/>
          <w:rtl/>
        </w:rPr>
        <w:t>أحدها: أن الإنعام، والإحسان، وكشف الضر، دلّ أيضًا على الرحمة، كدلالة التخصيص على الإرادة. والتقريب والإدناء وأنواع التخصيص التي لا تكون إلا من المُحب، تدل على المحبة، ومطلق التخصيص يدل على الإرادة، وأما التخصيص بالإنعام فتخصيص خاص، والتخصيص بالتقريب والاصطفاء تقريب خاص. وما سلكه في مسلك الإرادة يسلك في مثل هذا.</w:t>
      </w:r>
    </w:p>
    <w:p w:rsidR="0075402D" w:rsidRPr="0075402D" w:rsidRDefault="0075402D" w:rsidP="0075402D">
      <w:pPr>
        <w:pStyle w:val="NormalWeb"/>
        <w:bidi/>
        <w:spacing w:before="0" w:beforeAutospacing="0" w:after="0" w:afterAutospacing="0"/>
        <w:jc w:val="lowKashida"/>
        <w:rPr>
          <w:sz w:val="18"/>
          <w:szCs w:val="18"/>
        </w:rPr>
      </w:pPr>
      <w:r w:rsidRPr="0075402D">
        <w:rPr>
          <w:sz w:val="18"/>
          <w:szCs w:val="18"/>
          <w:rtl/>
        </w:rPr>
        <w:t>الثاني: يقال له: هب أن العقل لا يدل على هذا، فإنه لا ينفيه إلا بمثل ما ينف</w:t>
      </w:r>
      <w:r w:rsidRPr="0075402D">
        <w:rPr>
          <w:rFonts w:hint="cs"/>
          <w:sz w:val="18"/>
          <w:szCs w:val="18"/>
          <w:rtl/>
        </w:rPr>
        <w:t>ي</w:t>
      </w:r>
      <w:r w:rsidRPr="0075402D">
        <w:rPr>
          <w:sz w:val="18"/>
          <w:szCs w:val="18"/>
          <w:rtl/>
        </w:rPr>
        <w:t xml:space="preserve"> به الإرادة. والسمع دليل مستقل بنفسه، بل الطمأنينة إليه في هذه المضايق أعظم، ودلالته أتم. فلأي شيء نفيت مدلوله، أو توقفت، وأعدت هذه الصفات كلها إلى الإرادة، مع أن النصوص لم تفرق؟ فلا يذكر حجة إلا عورض بمثلها في إثباتها الإرادة زيادة على الفعل.</w:t>
      </w:r>
    </w:p>
    <w:p w:rsidR="0075402D" w:rsidRPr="0075402D" w:rsidRDefault="0075402D" w:rsidP="0075402D">
      <w:pPr>
        <w:pStyle w:val="NormalWeb"/>
        <w:bidi/>
        <w:spacing w:before="0" w:beforeAutospacing="0" w:after="0" w:afterAutospacing="0"/>
        <w:jc w:val="lowKashida"/>
        <w:rPr>
          <w:sz w:val="18"/>
          <w:szCs w:val="18"/>
        </w:rPr>
      </w:pPr>
      <w:r w:rsidRPr="0075402D">
        <w:rPr>
          <w:sz w:val="18"/>
          <w:szCs w:val="18"/>
          <w:rtl/>
        </w:rPr>
        <w:t>وهذا نموذج لما يمكن أن يكون من مناقشة بين الأشعري والجهمي المعتزلي الذي ينكر صفة الإرادة فيقال: "الثالث: يقال له (أي للأشعري): إذا قال الجهمي (والمعتزلي): الإرادة لا معنى لها إلا عدمُ الإكراه، أو نفس الفعل والأمر به، وزعم أن إثبات إرادة تقتضي محذورًا؛ إن قال بقدمها، ومحذورًا إن قال بحدوثها... كان جوابه (أي: جواب الأشعري للمعتزلي الجهمي): أن ما ادعى إحالته من ثبوت الصفات ليس بمحال، والنص قد دل عليها، والعقل أيضًا. فإذا أخذ الخصم (أي: المعتزلي) ينازع في دلالة النص أو العقل جعله مسفسطًا أو مقرمطًا (أي حكم الأشعري على المعتزلي بذلك). (فيقول أهل السنة للأشعري:) وهذا بعينه موجود في الرحمة، والمحبة،...".</w:t>
      </w:r>
    </w:p>
    <w:p w:rsidR="0075402D" w:rsidRPr="0075402D" w:rsidRDefault="0075402D" w:rsidP="0075402D">
      <w:pPr>
        <w:pStyle w:val="NormalWeb"/>
        <w:bidi/>
        <w:spacing w:before="0" w:beforeAutospacing="0" w:after="0" w:afterAutospacing="0"/>
        <w:jc w:val="lowKashida"/>
        <w:rPr>
          <w:sz w:val="18"/>
          <w:szCs w:val="18"/>
        </w:rPr>
      </w:pPr>
      <w:r w:rsidRPr="0075402D">
        <w:rPr>
          <w:sz w:val="18"/>
          <w:szCs w:val="18"/>
          <w:rtl/>
        </w:rPr>
        <w:t>"ونكتة هذا الكلام: أنّ غالب من نفي وأثبت شيئًا مما دل عليه الكتاب والسنة، لا بد أن يثبت الشيء لقيام المتقضي وانتفاء المانع، وينفي الشيء لوجود المانع، أو لعدم المقتضى، أو يتوقف إذا لم يكن له عنده مقتض ولا مانع:</w:t>
      </w:r>
    </w:p>
    <w:p w:rsidR="0075402D" w:rsidRPr="0075402D" w:rsidRDefault="0075402D" w:rsidP="0075402D">
      <w:pPr>
        <w:pStyle w:val="NormalWeb"/>
        <w:bidi/>
        <w:spacing w:before="0" w:beforeAutospacing="0" w:after="0" w:afterAutospacing="0"/>
        <w:jc w:val="lowKashida"/>
        <w:rPr>
          <w:sz w:val="18"/>
          <w:szCs w:val="18"/>
        </w:rPr>
      </w:pPr>
      <w:r w:rsidRPr="0075402D">
        <w:rPr>
          <w:sz w:val="18"/>
          <w:szCs w:val="18"/>
          <w:rtl/>
        </w:rPr>
        <w:t>فتبين أن المقتضى فيما نفاه قائم، كما أنّه فيما أثبته قائم، إما من كل وجه، أو من وجه يجب به الإثبات؛ فإن كان المقتضى هناك حقًّا فكذلك هنا، وإلا قدره ذاك المقتضى من جنس درء هذا.</w:t>
      </w:r>
    </w:p>
    <w:p w:rsidR="0075402D" w:rsidRPr="0075402D" w:rsidRDefault="0075402D" w:rsidP="0075402D">
      <w:pPr>
        <w:pStyle w:val="NormalWeb"/>
        <w:bidi/>
        <w:spacing w:before="0" w:beforeAutospacing="0" w:after="0" w:afterAutospacing="0"/>
        <w:jc w:val="lowKashida"/>
        <w:rPr>
          <w:sz w:val="32"/>
          <w:szCs w:val="32"/>
          <w:rtl/>
        </w:rPr>
      </w:pPr>
      <w:r w:rsidRPr="0075402D">
        <w:rPr>
          <w:sz w:val="18"/>
          <w:szCs w:val="18"/>
          <w:rtl/>
        </w:rPr>
        <w:t>وأما المانع فيُبَيّن أنّ المانع الذي تخيله فيما نفاه من جنس المانع الذي تخيله فيما أثبته؛ فإذا كان ذلك المانع المستحيل موجودًا على التقديرين؛ لم ينج من محذوره بإثبات أحدهما ونفي الآخر، فإنه إن كان حقًّا نفاهما، وإن كان باطلًا لم ينف واحدًا منهما، فعليه أن يسوي بين الأمرين في الإثبات والنفي، ولا سبيل إلى النفي فتعين الإثبات.</w:t>
      </w:r>
      <w:r w:rsidRPr="0075402D">
        <w:rPr>
          <w:rFonts w:hint="cs"/>
          <w:sz w:val="18"/>
          <w:szCs w:val="18"/>
          <w:rtl/>
        </w:rPr>
        <w:t xml:space="preserve"> </w:t>
      </w:r>
      <w:r w:rsidRPr="0075402D">
        <w:rPr>
          <w:sz w:val="18"/>
          <w:szCs w:val="18"/>
          <w:rtl/>
        </w:rPr>
        <w:t>فهذه نكتة الإلزام لمن أثبت شيئًا وما من أحد إلا ولا بد أن يثبت شيئًا، أو يجب عليه إثباته".</w:t>
      </w:r>
    </w:p>
    <w:p w:rsidR="0075402D" w:rsidRDefault="0075402D" w:rsidP="0075402D">
      <w:pPr>
        <w:jc w:val="center"/>
        <w:rPr>
          <w:rFonts w:asciiTheme="majorBidi" w:hAnsiTheme="majorBidi" w:cstheme="majorBidi"/>
          <w:b/>
          <w:bCs/>
          <w:sz w:val="18"/>
          <w:szCs w:val="18"/>
          <w:rtl/>
        </w:rPr>
      </w:pPr>
      <w:r>
        <w:rPr>
          <w:rFonts w:asciiTheme="majorBidi" w:hAnsiTheme="majorBidi" w:cstheme="majorBidi" w:hint="cs"/>
          <w:b/>
          <w:bCs/>
          <w:sz w:val="18"/>
          <w:szCs w:val="18"/>
          <w:rtl/>
        </w:rPr>
        <w:t>المراجع والمصادر:</w:t>
      </w:r>
    </w:p>
    <w:p w:rsidR="0075402D" w:rsidRPr="00785C26" w:rsidRDefault="0075402D" w:rsidP="0075402D">
      <w:pPr>
        <w:numPr>
          <w:ilvl w:val="0"/>
          <w:numId w:val="3"/>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تقي الدين أحمد عبد الحليم بن تيمية ، مجموع الفتاوى، جمع وترتيب/ عبد الرحمن بن قاسم، المدينة المنورة،  طبع مجمع الملك فهد لطباعة المصحف الشريف, عام 1416هـ.</w:t>
      </w:r>
    </w:p>
    <w:p w:rsidR="0075402D" w:rsidRPr="00785C26" w:rsidRDefault="0075402D" w:rsidP="0075402D">
      <w:pPr>
        <w:numPr>
          <w:ilvl w:val="0"/>
          <w:numId w:val="3"/>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علي بن علي بن محمد بن أبي العز الحنفي ، شرح العقيدة الطحاوية،  تحقيق د/ عبد الله التركي وشعيب الأرن</w:t>
      </w:r>
      <w:r w:rsidRPr="00785C26">
        <w:rPr>
          <w:rFonts w:asciiTheme="majorBidi" w:hAnsiTheme="majorBidi" w:cstheme="majorBidi"/>
          <w:b/>
          <w:bCs/>
          <w:sz w:val="18"/>
          <w:szCs w:val="18"/>
          <w:rtl/>
          <w:lang w:bidi="ar-EG"/>
        </w:rPr>
        <w:t>ؤ</w:t>
      </w:r>
      <w:r w:rsidRPr="00785C26">
        <w:rPr>
          <w:rFonts w:asciiTheme="majorBidi" w:hAnsiTheme="majorBidi" w:cstheme="majorBidi"/>
          <w:b/>
          <w:bCs/>
          <w:sz w:val="18"/>
          <w:szCs w:val="18"/>
          <w:rtl/>
        </w:rPr>
        <w:t>وط، بيروت،  الطبعة العاشرة مؤسسة الرسالة، 1417هـ.</w:t>
      </w:r>
    </w:p>
    <w:p w:rsidR="0075402D" w:rsidRPr="00785C26" w:rsidRDefault="0075402D" w:rsidP="0075402D">
      <w:pPr>
        <w:numPr>
          <w:ilvl w:val="0"/>
          <w:numId w:val="3"/>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خليفة التميمي</w:t>
      </w:r>
      <w:r w:rsidRPr="00785C26">
        <w:rPr>
          <w:rFonts w:asciiTheme="majorBidi" w:hAnsiTheme="majorBidi" w:cstheme="majorBidi"/>
          <w:b/>
          <w:bCs/>
          <w:sz w:val="18"/>
          <w:szCs w:val="18"/>
          <w:rtl/>
        </w:rPr>
        <w:t xml:space="preserve"> ، معتقد أهل السنة والجماعة في أسماء الله الحسنى </w:t>
      </w:r>
      <w:r w:rsidRPr="00785C26">
        <w:rPr>
          <w:rFonts w:asciiTheme="majorBidi" w:hAnsiTheme="majorBidi" w:cstheme="majorBidi"/>
          <w:b/>
          <w:bCs/>
          <w:sz w:val="18"/>
          <w:szCs w:val="18"/>
          <w:rtl/>
          <w:lang w:bidi="ar-EG"/>
        </w:rPr>
        <w:t xml:space="preserve">، الرياض، مكتبة أضواء السلف الطبعة الأولى، 1419هـ.  </w:t>
      </w:r>
    </w:p>
    <w:p w:rsidR="0075402D" w:rsidRPr="00785C26" w:rsidRDefault="0075402D" w:rsidP="0075402D">
      <w:pPr>
        <w:numPr>
          <w:ilvl w:val="0"/>
          <w:numId w:val="3"/>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،الصواعق المرسلة على الجهمية والمعطلة</w:t>
      </w:r>
      <w:r w:rsidRPr="00785C26">
        <w:rPr>
          <w:rFonts w:asciiTheme="majorBidi" w:hAnsiTheme="majorBidi" w:cstheme="majorBidi"/>
          <w:b/>
          <w:bCs/>
          <w:sz w:val="18"/>
          <w:szCs w:val="18"/>
          <w:rtl/>
          <w:lang w:bidi="ar-EG"/>
        </w:rPr>
        <w:t>، تحقيق: علي بن محمد الدخيل الله، الرياض، دار العاصمة، 1998م.</w:t>
      </w:r>
    </w:p>
    <w:p w:rsidR="0075402D" w:rsidRPr="00785C26" w:rsidRDefault="0075402D" w:rsidP="0075402D">
      <w:pPr>
        <w:numPr>
          <w:ilvl w:val="0"/>
          <w:numId w:val="3"/>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 اجتماع الجيوش الإسلامية على غزو المعطلة والجهمية</w:t>
      </w:r>
      <w:r w:rsidRPr="00785C26">
        <w:rPr>
          <w:rFonts w:asciiTheme="majorBidi" w:hAnsiTheme="majorBidi" w:cstheme="majorBidi"/>
          <w:b/>
          <w:bCs/>
          <w:sz w:val="18"/>
          <w:szCs w:val="18"/>
          <w:rtl/>
          <w:lang w:bidi="ar-EG"/>
        </w:rPr>
        <w:t>، دار الكتب العلمية, 2003م.</w:t>
      </w:r>
    </w:p>
    <w:p w:rsidR="0075402D" w:rsidRPr="00785C26" w:rsidRDefault="0075402D" w:rsidP="0075402D">
      <w:pPr>
        <w:numPr>
          <w:ilvl w:val="0"/>
          <w:numId w:val="3"/>
        </w:numPr>
        <w:rPr>
          <w:rFonts w:asciiTheme="majorBidi" w:hAnsiTheme="majorBidi" w:cstheme="majorBidi"/>
          <w:b/>
          <w:bCs/>
          <w:sz w:val="18"/>
          <w:szCs w:val="18"/>
          <w:rtl/>
        </w:rPr>
      </w:pPr>
      <w:r w:rsidRPr="00785C26">
        <w:rPr>
          <w:rFonts w:asciiTheme="majorBidi" w:hAnsiTheme="majorBidi" w:cstheme="majorBidi"/>
          <w:b/>
          <w:bCs/>
          <w:sz w:val="18"/>
          <w:szCs w:val="18"/>
          <w:rtl/>
          <w:lang w:bidi="ar-EG"/>
        </w:rPr>
        <w:lastRenderedPageBreak/>
        <w:t>هبة الله بن الحسن اللالكائي</w:t>
      </w:r>
      <w:r w:rsidRPr="00785C26">
        <w:rPr>
          <w:rFonts w:asciiTheme="majorBidi" w:hAnsiTheme="majorBidi" w:cstheme="majorBidi"/>
          <w:b/>
          <w:bCs/>
          <w:sz w:val="18"/>
          <w:szCs w:val="18"/>
          <w:rtl/>
        </w:rPr>
        <w:t xml:space="preserve">  ، شرح أصول اعتقاد أهل السنة والجماعة</w:t>
      </w:r>
      <w:r w:rsidRPr="00785C26">
        <w:rPr>
          <w:rFonts w:asciiTheme="majorBidi" w:hAnsiTheme="majorBidi" w:cstheme="majorBidi"/>
          <w:b/>
          <w:bCs/>
          <w:sz w:val="18"/>
          <w:szCs w:val="18"/>
          <w:rtl/>
          <w:lang w:bidi="ar-EG"/>
        </w:rPr>
        <w:t>،  تحقيق ، أحمد سعد حمدان، الرياض، دار طيبة، 1982م.</w:t>
      </w:r>
    </w:p>
    <w:p w:rsidR="0075402D" w:rsidRPr="00785C26" w:rsidRDefault="0075402D" w:rsidP="0075402D">
      <w:pPr>
        <w:numPr>
          <w:ilvl w:val="0"/>
          <w:numId w:val="3"/>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 xml:space="preserve">محمد بن إسحاق بن خزيمة  </w:t>
      </w:r>
      <w:r w:rsidRPr="00785C26">
        <w:rPr>
          <w:rFonts w:asciiTheme="majorBidi" w:hAnsiTheme="majorBidi" w:cstheme="majorBidi"/>
          <w:b/>
          <w:bCs/>
          <w:sz w:val="18"/>
          <w:szCs w:val="18"/>
          <w:rtl/>
        </w:rPr>
        <w:t xml:space="preserve">، كتاب التوحيد وإثبات صفات الرب عز وجل ، </w:t>
      </w:r>
      <w:r w:rsidRPr="00785C26">
        <w:rPr>
          <w:rFonts w:asciiTheme="majorBidi" w:hAnsiTheme="majorBidi" w:cstheme="majorBidi"/>
          <w:b/>
          <w:bCs/>
          <w:sz w:val="18"/>
          <w:szCs w:val="18"/>
          <w:rtl/>
          <w:lang w:bidi="ar-EG"/>
        </w:rPr>
        <w:t>تحقيق: عبد العزيز الشهوان، الرياض، دار الرشد للنشر والتوزيع،1987م.</w:t>
      </w:r>
    </w:p>
    <w:p w:rsidR="0075402D" w:rsidRPr="00785C26" w:rsidRDefault="0075402D" w:rsidP="0075402D">
      <w:pPr>
        <w:numPr>
          <w:ilvl w:val="0"/>
          <w:numId w:val="3"/>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ناصر الدين الألباني</w:t>
      </w:r>
      <w:r w:rsidRPr="00785C26">
        <w:rPr>
          <w:rFonts w:asciiTheme="majorBidi" w:hAnsiTheme="majorBidi" w:cstheme="majorBidi"/>
          <w:b/>
          <w:bCs/>
          <w:sz w:val="18"/>
          <w:szCs w:val="18"/>
          <w:rtl/>
        </w:rPr>
        <w:t xml:space="preserve"> ، مختصر العلو للعلي الغفار </w:t>
      </w:r>
      <w:r w:rsidRPr="00785C26">
        <w:rPr>
          <w:rFonts w:asciiTheme="majorBidi" w:hAnsiTheme="majorBidi" w:cstheme="majorBidi"/>
          <w:b/>
          <w:bCs/>
          <w:sz w:val="18"/>
          <w:szCs w:val="18"/>
          <w:rtl/>
          <w:lang w:bidi="ar-EG"/>
        </w:rPr>
        <w:t>، المكتب الإسلامي، 1980م.</w:t>
      </w:r>
    </w:p>
    <w:p w:rsidR="0075402D" w:rsidRPr="00785C26" w:rsidRDefault="0075402D" w:rsidP="0075402D">
      <w:pPr>
        <w:numPr>
          <w:ilvl w:val="0"/>
          <w:numId w:val="3"/>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صالح بن عثيمين</w:t>
      </w:r>
      <w:r w:rsidRPr="00785C26">
        <w:rPr>
          <w:rFonts w:asciiTheme="majorBidi" w:hAnsiTheme="majorBidi" w:cstheme="majorBidi"/>
          <w:b/>
          <w:bCs/>
          <w:sz w:val="18"/>
          <w:szCs w:val="18"/>
          <w:rtl/>
        </w:rPr>
        <w:t xml:space="preserve"> ، القواعد المثلى في صفات الله وأسمائه الحسنى</w:t>
      </w:r>
      <w:r w:rsidRPr="00785C26">
        <w:rPr>
          <w:rFonts w:asciiTheme="majorBidi" w:hAnsiTheme="majorBidi" w:cstheme="majorBidi"/>
          <w:b/>
          <w:bCs/>
          <w:sz w:val="18"/>
          <w:szCs w:val="18"/>
          <w:rtl/>
          <w:lang w:bidi="ar-EG"/>
        </w:rPr>
        <w:t>، تحقيق: أشرف عبد المقصود، القاهرة، مكتبة السنة، 1993م.</w:t>
      </w:r>
    </w:p>
    <w:p w:rsidR="0075402D" w:rsidRPr="00785C26" w:rsidRDefault="0075402D" w:rsidP="0075402D">
      <w:pPr>
        <w:numPr>
          <w:ilvl w:val="0"/>
          <w:numId w:val="3"/>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lastRenderedPageBreak/>
        <w:t>إبراهيم البريكان</w:t>
      </w:r>
      <w:r w:rsidRPr="00785C26">
        <w:rPr>
          <w:rFonts w:asciiTheme="majorBidi" w:hAnsiTheme="majorBidi" w:cstheme="majorBidi"/>
          <w:b/>
          <w:bCs/>
          <w:sz w:val="18"/>
          <w:szCs w:val="18"/>
          <w:rtl/>
        </w:rPr>
        <w:t xml:space="preserve"> ، القواعد الكلية للأسماء والصفات عند السلف </w:t>
      </w:r>
      <w:r w:rsidRPr="00785C26">
        <w:rPr>
          <w:rFonts w:asciiTheme="majorBidi" w:hAnsiTheme="majorBidi" w:cstheme="majorBidi"/>
          <w:b/>
          <w:bCs/>
          <w:sz w:val="18"/>
          <w:szCs w:val="18"/>
          <w:rtl/>
          <w:lang w:bidi="ar-EG"/>
        </w:rPr>
        <w:t>، الدمام،  دار ابن القيم، 2004م</w:t>
      </w:r>
    </w:p>
    <w:p w:rsidR="0075402D" w:rsidRPr="00785C26" w:rsidRDefault="0075402D" w:rsidP="0075402D">
      <w:pPr>
        <w:numPr>
          <w:ilvl w:val="0"/>
          <w:numId w:val="3"/>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عمر سليمان  الأشقر</w:t>
      </w:r>
      <w:r w:rsidRPr="00785C26">
        <w:rPr>
          <w:rFonts w:asciiTheme="majorBidi" w:hAnsiTheme="majorBidi" w:cstheme="majorBidi"/>
          <w:b/>
          <w:bCs/>
          <w:sz w:val="18"/>
          <w:szCs w:val="18"/>
          <w:rtl/>
        </w:rPr>
        <w:t xml:space="preserve">  ، الأسماء والصفات في معتقد أهل السنة والجماعة</w:t>
      </w:r>
      <w:r w:rsidRPr="00785C26">
        <w:rPr>
          <w:rFonts w:asciiTheme="majorBidi" w:hAnsiTheme="majorBidi" w:cstheme="majorBidi"/>
          <w:b/>
          <w:bCs/>
          <w:sz w:val="18"/>
          <w:szCs w:val="18"/>
          <w:rtl/>
          <w:lang w:bidi="ar-EG"/>
        </w:rPr>
        <w:t>، الأردن، دار النفائس للنشر والتوزيع، 1992م.</w:t>
      </w:r>
    </w:p>
    <w:p w:rsidR="0075402D" w:rsidRPr="00785C26" w:rsidRDefault="0075402D" w:rsidP="0075402D">
      <w:pPr>
        <w:numPr>
          <w:ilvl w:val="0"/>
          <w:numId w:val="3"/>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أحمد عبد الرحمن القاضي</w:t>
      </w:r>
      <w:r w:rsidRPr="00785C26">
        <w:rPr>
          <w:rFonts w:asciiTheme="majorBidi" w:hAnsiTheme="majorBidi" w:cstheme="majorBidi"/>
          <w:b/>
          <w:bCs/>
          <w:sz w:val="18"/>
          <w:szCs w:val="18"/>
          <w:rtl/>
        </w:rPr>
        <w:t xml:space="preserve">  ، مذهب أهل التفويض في نصوص الصفات "عرض ونقد"</w:t>
      </w:r>
      <w:r w:rsidRPr="00785C26">
        <w:rPr>
          <w:rFonts w:asciiTheme="majorBidi" w:hAnsiTheme="majorBidi" w:cstheme="majorBidi"/>
          <w:b/>
          <w:bCs/>
          <w:sz w:val="18"/>
          <w:szCs w:val="18"/>
          <w:rtl/>
          <w:lang w:bidi="ar-EG"/>
        </w:rPr>
        <w:t>، الرياض، دار العاصمة، 1995م.</w:t>
      </w:r>
    </w:p>
    <w:p w:rsidR="0075402D" w:rsidRPr="00785C26" w:rsidRDefault="0075402D" w:rsidP="0075402D">
      <w:pPr>
        <w:numPr>
          <w:ilvl w:val="0"/>
          <w:numId w:val="3"/>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عبد الرحيم السلمي</w:t>
      </w:r>
      <w:r w:rsidRPr="00785C26">
        <w:rPr>
          <w:rFonts w:asciiTheme="majorBidi" w:hAnsiTheme="majorBidi" w:cstheme="majorBidi"/>
          <w:b/>
          <w:bCs/>
          <w:sz w:val="18"/>
          <w:szCs w:val="18"/>
          <w:rtl/>
        </w:rPr>
        <w:t xml:space="preserve"> ، حقيقة التوحيد بين أهل السنة والمتكلمين</w:t>
      </w:r>
      <w:r w:rsidRPr="00785C26">
        <w:rPr>
          <w:rFonts w:asciiTheme="majorBidi" w:hAnsiTheme="majorBidi" w:cstheme="majorBidi"/>
          <w:b/>
          <w:bCs/>
          <w:sz w:val="18"/>
          <w:szCs w:val="18"/>
          <w:rtl/>
          <w:lang w:bidi="ar-EG"/>
        </w:rPr>
        <w:t>، الرياض، دار المعلمة للنشر والتوزيع، 2000م.</w:t>
      </w:r>
    </w:p>
    <w:p w:rsidR="0075402D" w:rsidRPr="00785C26" w:rsidRDefault="0075402D" w:rsidP="0075402D">
      <w:pPr>
        <w:jc w:val="center"/>
        <w:rPr>
          <w:rFonts w:asciiTheme="majorBidi" w:hAnsiTheme="majorBidi" w:cstheme="majorBidi"/>
          <w:b/>
          <w:bCs/>
          <w:sz w:val="18"/>
          <w:szCs w:val="18"/>
          <w:rtl/>
          <w:lang w:bidi="ar-EG"/>
        </w:rPr>
      </w:pPr>
    </w:p>
    <w:p w:rsidR="0075402D" w:rsidRDefault="0075402D" w:rsidP="0075402D">
      <w:pPr>
        <w:rPr>
          <w:rFonts w:asciiTheme="majorBidi" w:eastAsia="Calibri" w:hAnsiTheme="majorBidi" w:cstheme="majorBidi"/>
          <w:b/>
          <w:bCs/>
          <w:sz w:val="44"/>
          <w:szCs w:val="44"/>
          <w:rtl/>
          <w:lang w:bidi="ar-EG"/>
        </w:rPr>
        <w:sectPr w:rsidR="0075402D" w:rsidSect="0075402D">
          <w:type w:val="continuous"/>
          <w:pgSz w:w="11906" w:h="16838"/>
          <w:pgMar w:top="731" w:right="737" w:bottom="1843" w:left="737" w:header="709" w:footer="709" w:gutter="0"/>
          <w:cols w:num="2" w:space="708"/>
          <w:bidi/>
          <w:rtlGutter/>
          <w:docGrid w:linePitch="360"/>
        </w:sectPr>
      </w:pPr>
    </w:p>
    <w:p w:rsidR="004219C3" w:rsidRPr="0075402D" w:rsidRDefault="004219C3" w:rsidP="0075402D">
      <w:pPr>
        <w:rPr>
          <w:rFonts w:asciiTheme="majorBidi" w:eastAsia="Calibri" w:hAnsiTheme="majorBidi" w:cstheme="majorBidi"/>
          <w:b/>
          <w:bCs/>
          <w:sz w:val="44"/>
          <w:szCs w:val="44"/>
          <w:lang w:bidi="ar-EG"/>
        </w:rPr>
      </w:pPr>
    </w:p>
    <w:sectPr w:rsidR="004219C3" w:rsidRPr="0075402D" w:rsidSect="0075402D">
      <w:type w:val="continuous"/>
      <w:pgSz w:w="11906" w:h="16838"/>
      <w:pgMar w:top="731" w:right="737" w:bottom="2432" w:left="73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139200A3"/>
    <w:multiLevelType w:val="hybridMultilevel"/>
    <w:tmpl w:val="56C8CB08"/>
    <w:lvl w:ilvl="0" w:tplc="36945D04">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3679EA"/>
    <w:multiLevelType w:val="hybridMultilevel"/>
    <w:tmpl w:val="B1FC8046"/>
    <w:lvl w:ilvl="0" w:tplc="36945D04">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DF110E4"/>
    <w:multiLevelType w:val="hybridMultilevel"/>
    <w:tmpl w:val="C34E3724"/>
    <w:lvl w:ilvl="0" w:tplc="C3DC540E">
      <w:start w:val="1"/>
      <w:numFmt w:val="decimal"/>
      <w:lvlText w:val="%1."/>
      <w:lvlJc w:val="left"/>
      <w:pPr>
        <w:tabs>
          <w:tab w:val="num" w:pos="510"/>
        </w:tabs>
        <w:ind w:left="510" w:hanging="283"/>
      </w:pPr>
      <w:rPr>
        <w:rFonts w:cs="AL-Matee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402D"/>
    <w:rsid w:val="001A2769"/>
    <w:rsid w:val="003A5201"/>
    <w:rsid w:val="004168A0"/>
    <w:rsid w:val="004219C3"/>
    <w:rsid w:val="005E6576"/>
    <w:rsid w:val="0073536F"/>
    <w:rsid w:val="0075402D"/>
    <w:rsid w:val="00B52C5C"/>
    <w:rsid w:val="00DA74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02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5402D"/>
    <w:pPr>
      <w:bidi w:val="0"/>
      <w:spacing w:before="100" w:beforeAutospacing="1" w:after="100" w:afterAutospacing="1"/>
    </w:pPr>
  </w:style>
  <w:style w:type="paragraph" w:customStyle="1" w:styleId="Affiliation">
    <w:name w:val="Affiliation"/>
    <w:rsid w:val="0075402D"/>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75402D"/>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75402D"/>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5402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nna.Magdy@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1016</Words>
  <Characters>5793</Characters>
  <Application>Microsoft Office Word</Application>
  <DocSecurity>0</DocSecurity>
  <Lines>48</Lines>
  <Paragraphs>13</Paragraphs>
  <ScaleCrop>false</ScaleCrop>
  <Company>Fannan</Company>
  <LinksUpToDate>false</LinksUpToDate>
  <CharactersWithSpaces>6796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3</cp:revision>
  <dcterms:created xsi:type="dcterms:W3CDTF">2013-06-23T08:22:00Z</dcterms:created>
  <dcterms:modified xsi:type="dcterms:W3CDTF">2013-06-25T10:20:00Z</dcterms:modified>
</cp:coreProperties>
</file>