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22" w:rsidRDefault="00876B22" w:rsidP="00B76BE7">
      <w:pPr>
        <w:spacing w:before="60"/>
        <w:jc w:val="center"/>
        <w:rPr>
          <w:b/>
          <w:bCs/>
          <w:sz w:val="44"/>
          <w:szCs w:val="44"/>
          <w:rtl/>
        </w:rPr>
      </w:pPr>
      <w:r w:rsidRPr="00B76BE7">
        <w:rPr>
          <w:b/>
          <w:bCs/>
          <w:sz w:val="44"/>
          <w:szCs w:val="44"/>
          <w:rtl/>
        </w:rPr>
        <w:t>صفة اليدين</w:t>
      </w:r>
    </w:p>
    <w:p w:rsidR="00876B22" w:rsidRDefault="00876B22" w:rsidP="00B76BE7">
      <w:pPr>
        <w:jc w:val="center"/>
        <w:rPr>
          <w:rFonts w:hint="cs"/>
          <w:b/>
          <w:bCs/>
          <w:i/>
          <w:iCs/>
          <w:sz w:val="28"/>
          <w:szCs w:val="28"/>
          <w:rtl/>
        </w:rPr>
      </w:pPr>
      <w:r w:rsidRPr="00113800">
        <w:rPr>
          <w:b/>
          <w:bCs/>
          <w:i/>
          <w:iCs/>
          <w:sz w:val="28"/>
          <w:szCs w:val="28"/>
          <w:rtl/>
        </w:rPr>
        <w:t>بحث فى : توحيد الصفات</w:t>
      </w:r>
    </w:p>
    <w:p w:rsidR="00A1436C" w:rsidRPr="00113800" w:rsidRDefault="00A1436C" w:rsidP="00B76BE7">
      <w:pPr>
        <w:jc w:val="center"/>
        <w:rPr>
          <w:b/>
          <w:bCs/>
          <w:i/>
          <w:iCs/>
          <w:color w:val="4F81BD"/>
          <w:sz w:val="28"/>
          <w:szCs w:val="28"/>
          <w:rtl/>
          <w:lang w:bidi="ar-EG"/>
        </w:rPr>
      </w:pPr>
    </w:p>
    <w:p w:rsidR="00876B22" w:rsidRPr="00A1436C" w:rsidRDefault="00876B22" w:rsidP="00A1436C">
      <w:pPr>
        <w:pStyle w:val="Author"/>
        <w:tabs>
          <w:tab w:val="left" w:pos="4366"/>
          <w:tab w:val="center" w:pos="5244"/>
        </w:tabs>
        <w:bidi/>
        <w:spacing w:before="0" w:after="0"/>
        <w:rPr>
          <w:i/>
          <w:iCs/>
          <w:sz w:val="28"/>
          <w:szCs w:val="28"/>
          <w:lang w:eastAsia="zh-CN"/>
        </w:rPr>
      </w:pPr>
      <w:r w:rsidRPr="00A1436C">
        <w:rPr>
          <w:i/>
          <w:iCs/>
          <w:sz w:val="28"/>
          <w:szCs w:val="28"/>
          <w:rtl/>
          <w:lang w:eastAsia="zh-CN"/>
        </w:rPr>
        <w:t>إعداد /</w:t>
      </w:r>
      <w:r w:rsidR="00A1436C" w:rsidRPr="00A1436C">
        <w:rPr>
          <w:i/>
          <w:iCs/>
          <w:sz w:val="28"/>
          <w:szCs w:val="28"/>
          <w:rtl/>
          <w:lang w:eastAsia="zh-CN"/>
        </w:rPr>
        <w:t xml:space="preserve"> أيمن محمد أبوبكر  </w:t>
      </w:r>
    </w:p>
    <w:p w:rsidR="00876B22" w:rsidRPr="00A1436C" w:rsidRDefault="00876B22" w:rsidP="00B76BE7">
      <w:pPr>
        <w:pStyle w:val="Affiliation"/>
        <w:bidi/>
        <w:rPr>
          <w:i/>
          <w:iCs/>
          <w:sz w:val="28"/>
          <w:szCs w:val="28"/>
        </w:rPr>
      </w:pPr>
      <w:r w:rsidRPr="00A1436C">
        <w:rPr>
          <w:i/>
          <w:iCs/>
          <w:sz w:val="28"/>
          <w:szCs w:val="28"/>
          <w:rtl/>
        </w:rPr>
        <w:t>قسم الدعوة وأصول الدين</w:t>
      </w:r>
    </w:p>
    <w:p w:rsidR="00876B22" w:rsidRPr="00A1436C" w:rsidRDefault="00876B22" w:rsidP="00B76BE7">
      <w:pPr>
        <w:pStyle w:val="Affiliation"/>
        <w:bidi/>
        <w:rPr>
          <w:i/>
          <w:iCs/>
          <w:sz w:val="28"/>
          <w:szCs w:val="28"/>
        </w:rPr>
      </w:pPr>
      <w:r w:rsidRPr="00A1436C">
        <w:rPr>
          <w:i/>
          <w:iCs/>
          <w:sz w:val="28"/>
          <w:szCs w:val="28"/>
          <w:rtl/>
        </w:rPr>
        <w:t>كلية العلوم الإسلامية – جامعة المدينة العالمية</w:t>
      </w:r>
    </w:p>
    <w:p w:rsidR="00876B22" w:rsidRPr="00A1436C" w:rsidRDefault="00876B22" w:rsidP="00B76BE7">
      <w:pPr>
        <w:pStyle w:val="Affiliation"/>
        <w:bidi/>
        <w:rPr>
          <w:i/>
          <w:iCs/>
          <w:sz w:val="28"/>
          <w:szCs w:val="28"/>
          <w:rtl/>
        </w:rPr>
      </w:pPr>
      <w:r w:rsidRPr="00A1436C">
        <w:rPr>
          <w:i/>
          <w:iCs/>
          <w:sz w:val="28"/>
          <w:szCs w:val="28"/>
          <w:rtl/>
        </w:rPr>
        <w:t>شاه علم – ماليزيا</w:t>
      </w:r>
    </w:p>
    <w:p w:rsidR="00876B22" w:rsidRPr="00A1436C" w:rsidRDefault="00A1436C" w:rsidP="00B76BE7">
      <w:pPr>
        <w:tabs>
          <w:tab w:val="left" w:pos="4050"/>
        </w:tabs>
        <w:jc w:val="center"/>
        <w:rPr>
          <w:rFonts w:eastAsia="SimSun" w:hint="cs"/>
          <w:i/>
          <w:iCs/>
          <w:sz w:val="28"/>
          <w:szCs w:val="28"/>
          <w:rtl/>
          <w:lang w:eastAsia="zh-CN"/>
        </w:rPr>
      </w:pPr>
      <w:hyperlink r:id="rId5" w:history="1">
        <w:r w:rsidRPr="00A1436C">
          <w:rPr>
            <w:rFonts w:eastAsia="SimSun"/>
            <w:i/>
            <w:iCs/>
            <w:lang w:eastAsia="zh-CN"/>
          </w:rPr>
          <w:t>ayman.abobakr@mediu.ws</w:t>
        </w:r>
      </w:hyperlink>
    </w:p>
    <w:p w:rsidR="00A1436C" w:rsidRDefault="00A1436C" w:rsidP="00B76BE7">
      <w:pPr>
        <w:tabs>
          <w:tab w:val="left" w:pos="4050"/>
        </w:tabs>
        <w:jc w:val="center"/>
        <w:rPr>
          <w:rFonts w:hint="cs"/>
          <w:b/>
          <w:bCs/>
          <w:sz w:val="28"/>
          <w:szCs w:val="28"/>
          <w:rtl/>
          <w:lang w:bidi="ar-EG"/>
        </w:rPr>
      </w:pPr>
    </w:p>
    <w:p w:rsidR="00A1436C" w:rsidRPr="00113800" w:rsidRDefault="00A1436C" w:rsidP="00B76BE7">
      <w:pPr>
        <w:tabs>
          <w:tab w:val="left" w:pos="4050"/>
        </w:tabs>
        <w:jc w:val="center"/>
        <w:rPr>
          <w:b/>
          <w:bCs/>
          <w:i/>
          <w:iCs/>
          <w:sz w:val="28"/>
          <w:szCs w:val="28"/>
          <w:lang w:bidi="ar-EG"/>
        </w:rPr>
      </w:pPr>
    </w:p>
    <w:p w:rsidR="00876B22" w:rsidRDefault="00876B22" w:rsidP="00B76BE7">
      <w:pPr>
        <w:spacing w:before="60"/>
        <w:rPr>
          <w:b/>
          <w:bCs/>
          <w:sz w:val="18"/>
          <w:szCs w:val="18"/>
          <w:rtl/>
        </w:rPr>
        <w:sectPr w:rsidR="00876B22" w:rsidSect="00B76BE7">
          <w:pgSz w:w="11906" w:h="16838"/>
          <w:pgMar w:top="731" w:right="737" w:bottom="2432" w:left="737" w:header="709" w:footer="709" w:gutter="0"/>
          <w:cols w:space="708"/>
          <w:bidi/>
          <w:rtlGutter/>
          <w:docGrid w:linePitch="360"/>
        </w:sectPr>
      </w:pPr>
    </w:p>
    <w:p w:rsidR="00876B22" w:rsidRPr="00916DA5" w:rsidRDefault="00876B22" w:rsidP="00B76BE7">
      <w:pPr>
        <w:rPr>
          <w:b/>
          <w:bCs/>
          <w:sz w:val="18"/>
          <w:szCs w:val="18"/>
          <w:rtl/>
        </w:rPr>
      </w:pPr>
      <w:r w:rsidRPr="00B76BE7">
        <w:rPr>
          <w:b/>
          <w:bCs/>
          <w:sz w:val="18"/>
          <w:szCs w:val="18"/>
          <w:rtl/>
        </w:rPr>
        <w:lastRenderedPageBreak/>
        <w:t xml:space="preserve">خلاصة هذا البحث فى : صفة اليدين </w:t>
      </w:r>
      <w:r>
        <w:rPr>
          <w:b/>
          <w:bCs/>
          <w:sz w:val="18"/>
          <w:szCs w:val="18"/>
          <w:rtl/>
        </w:rPr>
        <w:tab/>
      </w:r>
    </w:p>
    <w:p w:rsidR="00876B22" w:rsidRPr="00916DA5" w:rsidRDefault="00876B22" w:rsidP="00B76BE7">
      <w:pPr>
        <w:tabs>
          <w:tab w:val="center" w:pos="5244"/>
          <w:tab w:val="left" w:pos="5752"/>
        </w:tabs>
        <w:rPr>
          <w:b/>
          <w:bCs/>
          <w:sz w:val="18"/>
          <w:szCs w:val="18"/>
          <w:rtl/>
          <w:lang w:bidi="ar-EG"/>
        </w:rPr>
      </w:pPr>
      <w:r w:rsidRPr="00916DA5">
        <w:rPr>
          <w:b/>
          <w:bCs/>
          <w:sz w:val="18"/>
          <w:szCs w:val="18"/>
          <w:rtl/>
        </w:rPr>
        <w:t xml:space="preserve">الكلمات </w:t>
      </w:r>
      <w:r>
        <w:rPr>
          <w:b/>
          <w:bCs/>
          <w:sz w:val="18"/>
          <w:szCs w:val="18"/>
          <w:rtl/>
        </w:rPr>
        <w:t>الافتتاحيه : الصفه، الخبريه، القدره</w:t>
      </w:r>
      <w:r>
        <w:rPr>
          <w:b/>
          <w:bCs/>
          <w:sz w:val="18"/>
          <w:szCs w:val="18"/>
          <w:rtl/>
        </w:rPr>
        <w:tab/>
      </w:r>
      <w:r>
        <w:rPr>
          <w:b/>
          <w:bCs/>
          <w:sz w:val="18"/>
          <w:szCs w:val="18"/>
          <w:rtl/>
        </w:rPr>
        <w:tab/>
      </w:r>
    </w:p>
    <w:p w:rsidR="00876B22" w:rsidRPr="00916DA5" w:rsidRDefault="00876B22" w:rsidP="00B76BE7">
      <w:pPr>
        <w:pStyle w:val="ListParagraph"/>
        <w:numPr>
          <w:ilvl w:val="0"/>
          <w:numId w:val="3"/>
        </w:numPr>
        <w:spacing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876B22" w:rsidRPr="00B76BE7" w:rsidRDefault="00876B22" w:rsidP="00B76BE7">
      <w:pPr>
        <w:rPr>
          <w:b/>
          <w:bCs/>
          <w:sz w:val="18"/>
          <w:szCs w:val="18"/>
          <w:rtl/>
        </w:rPr>
      </w:pPr>
      <w:r w:rsidRPr="00B76BE7">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صفة اليدين </w:t>
      </w:r>
    </w:p>
    <w:p w:rsidR="00876B22" w:rsidRPr="00B76BE7" w:rsidRDefault="00876B22" w:rsidP="00B76BE7">
      <w:pPr>
        <w:pStyle w:val="ListParagraph"/>
        <w:numPr>
          <w:ilvl w:val="0"/>
          <w:numId w:val="4"/>
        </w:numPr>
        <w:ind w:left="84" w:hanging="142"/>
        <w:jc w:val="center"/>
        <w:rPr>
          <w:rFonts w:ascii="Times New Roman" w:hAnsi="Times New Roman" w:cs="Times New Roman"/>
          <w:b/>
          <w:bCs/>
          <w:sz w:val="44"/>
          <w:szCs w:val="44"/>
        </w:rPr>
      </w:pPr>
      <w:r w:rsidRPr="00B76BE7">
        <w:rPr>
          <w:b/>
          <w:bCs/>
          <w:i/>
          <w:iCs/>
          <w:sz w:val="20"/>
          <w:szCs w:val="20"/>
          <w:rtl/>
          <w:lang w:eastAsia="zh-CN"/>
        </w:rPr>
        <w:t xml:space="preserve">. </w:t>
      </w:r>
      <w:r w:rsidRPr="00B76BE7">
        <w:rPr>
          <w:rFonts w:hint="cs"/>
          <w:b/>
          <w:bCs/>
          <w:i/>
          <w:iCs/>
          <w:sz w:val="20"/>
          <w:szCs w:val="20"/>
          <w:rtl/>
          <w:lang w:eastAsia="zh-CN"/>
        </w:rPr>
        <w:t>موضوع</w:t>
      </w:r>
      <w:r w:rsidRPr="00B76BE7">
        <w:rPr>
          <w:b/>
          <w:bCs/>
          <w:i/>
          <w:iCs/>
          <w:sz w:val="20"/>
          <w:szCs w:val="20"/>
          <w:rtl/>
          <w:lang w:eastAsia="zh-CN"/>
        </w:rPr>
        <w:t xml:space="preserve"> </w:t>
      </w:r>
      <w:r w:rsidRPr="00B76BE7">
        <w:rPr>
          <w:rFonts w:hint="cs"/>
          <w:b/>
          <w:bCs/>
          <w:i/>
          <w:iCs/>
          <w:sz w:val="20"/>
          <w:szCs w:val="20"/>
          <w:rtl/>
          <w:lang w:eastAsia="zh-CN"/>
        </w:rPr>
        <w:t>المقالة</w:t>
      </w:r>
    </w:p>
    <w:p w:rsidR="00876B22" w:rsidRPr="00B76BE7" w:rsidRDefault="00876B22" w:rsidP="00B76BE7">
      <w:pPr>
        <w:pStyle w:val="NormalWeb"/>
        <w:bidi/>
        <w:spacing w:before="0" w:beforeAutospacing="0" w:after="0" w:afterAutospacing="0"/>
        <w:jc w:val="lowKashida"/>
        <w:rPr>
          <w:rFonts w:ascii="Tahoma" w:hAnsi="Tahoma"/>
          <w:sz w:val="18"/>
          <w:szCs w:val="18"/>
        </w:rPr>
      </w:pPr>
      <w:r w:rsidRPr="00B76BE7">
        <w:rPr>
          <w:rFonts w:ascii="Tahoma" w:hAnsi="Tahoma"/>
          <w:spacing w:val="-6"/>
          <w:sz w:val="18"/>
          <w:szCs w:val="18"/>
          <w:rtl/>
          <w:lang w:bidi="ar-EG"/>
        </w:rPr>
        <w:t xml:space="preserve">وهذه الصفة كالتي قبلها من الصفات الخبرية، قد طاشت فيها سهام الخلف عن إصابة الهدف، وأخذوا يفسرونها تفسيرًا يساير عقيدتهم، فسروها مرة بالقدرة، ومرة أخرى بالنعمة فارِّين في زعمهم من التشبيه والتجسيم، يا سبحان الله أأنتم أعلم أم الله يقول الله في كتابه المبين: </w:t>
      </w:r>
      <w:r w:rsidRPr="00B76BE7">
        <w:rPr>
          <w:rFonts w:ascii="Tahoma" w:hAnsi="Tahoma" w:cs="DecoType Thuluth"/>
          <w:spacing w:val="-6"/>
          <w:sz w:val="18"/>
          <w:szCs w:val="18"/>
          <w:rtl/>
          <w:lang w:bidi="ar-EG"/>
        </w:rPr>
        <w:t>{</w:t>
      </w:r>
      <w:r w:rsidRPr="00B76BE7">
        <w:rPr>
          <w:rFonts w:ascii="QCF_P457" w:hAnsi="QCF_P457" w:cs="QCF_P457"/>
          <w:spacing w:val="-6"/>
          <w:sz w:val="18"/>
          <w:szCs w:val="18"/>
          <w:rtl/>
        </w:rPr>
        <w:t>ﯞ ﯟ ﯠ ﯡ ﯢ ﯣ ﯤ</w:t>
      </w:r>
      <w:r w:rsidRPr="00B76BE7">
        <w:rPr>
          <w:rFonts w:ascii="QCF_P457" w:hAnsi="QCF_P457" w:cs="DecoType Thuluth"/>
          <w:spacing w:val="-6"/>
          <w:sz w:val="18"/>
          <w:szCs w:val="18"/>
          <w:rtl/>
        </w:rPr>
        <w:t>}</w:t>
      </w:r>
      <w:r w:rsidRPr="00B76BE7">
        <w:rPr>
          <w:rFonts w:ascii="Tahoma" w:hAnsi="Tahoma"/>
          <w:spacing w:val="-6"/>
          <w:sz w:val="18"/>
          <w:szCs w:val="18"/>
          <w:rtl/>
        </w:rPr>
        <w:t xml:space="preserve"> [ص: 75]</w:t>
      </w:r>
      <w:r w:rsidRPr="00B76BE7">
        <w:rPr>
          <w:rFonts w:ascii="Tahoma" w:hAnsi="Tahoma"/>
          <w:sz w:val="18"/>
          <w:szCs w:val="18"/>
          <w:rtl/>
        </w:rPr>
        <w:t xml:space="preserve">، ويقول تعالى: </w:t>
      </w:r>
      <w:r w:rsidRPr="00B76BE7">
        <w:rPr>
          <w:rFonts w:ascii="Tahoma" w:hAnsi="Tahoma" w:cs="DecoType Thuluth"/>
          <w:sz w:val="18"/>
          <w:szCs w:val="18"/>
          <w:rtl/>
        </w:rPr>
        <w:t>{</w:t>
      </w:r>
      <w:r w:rsidRPr="00B76BE7">
        <w:rPr>
          <w:rFonts w:ascii="QCF_P118" w:hAnsi="QCF_P118" w:cs="QCF_P118"/>
          <w:sz w:val="18"/>
          <w:szCs w:val="18"/>
          <w:rtl/>
        </w:rPr>
        <w:t>ﯯ ﯰ ﯱ</w:t>
      </w:r>
      <w:r w:rsidRPr="00B76BE7">
        <w:rPr>
          <w:rFonts w:ascii="QCF_P118" w:hAnsi="QCF_P118" w:cs="DecoType Thuluth"/>
          <w:sz w:val="18"/>
          <w:szCs w:val="18"/>
          <w:rtl/>
        </w:rPr>
        <w:t>}</w:t>
      </w:r>
      <w:r w:rsidRPr="00B76BE7">
        <w:rPr>
          <w:rFonts w:ascii="Tahoma" w:hAnsi="Tahoma"/>
          <w:sz w:val="18"/>
          <w:szCs w:val="18"/>
          <w:rtl/>
        </w:rPr>
        <w:t xml:space="preserve"> [المائدة: 64]، فهل من الجائز أن يقال لما خلقت بنعمتي؟</w:t>
      </w:r>
    </w:p>
    <w:p w:rsidR="00876B22" w:rsidRPr="00B76BE7" w:rsidRDefault="00876B22" w:rsidP="00B76BE7">
      <w:pPr>
        <w:pStyle w:val="NormalWeb"/>
        <w:bidi/>
        <w:spacing w:before="0" w:beforeAutospacing="0" w:after="0" w:afterAutospacing="0"/>
        <w:jc w:val="lowKashida"/>
        <w:rPr>
          <w:rFonts w:ascii="Tahoma" w:hAnsi="Tahoma"/>
          <w:sz w:val="18"/>
          <w:szCs w:val="18"/>
        </w:rPr>
      </w:pPr>
      <w:r w:rsidRPr="00B76BE7">
        <w:rPr>
          <w:rFonts w:ascii="Tahoma" w:hAnsi="Tahoma"/>
          <w:sz w:val="18"/>
          <w:szCs w:val="18"/>
          <w:rtl/>
        </w:rPr>
        <w:t xml:space="preserve">الجواب: لا بالإجماع، لأن الذي يؤمن به جميع المؤمنين، والخلف منهم أن نعم الله لا تُعدّ ولا تُحصى، </w:t>
      </w:r>
      <w:r w:rsidRPr="00B76BE7">
        <w:rPr>
          <w:rFonts w:ascii="Tahoma" w:hAnsi="Tahoma" w:cs="DecoType Thuluth"/>
          <w:sz w:val="18"/>
          <w:szCs w:val="18"/>
          <w:rtl/>
        </w:rPr>
        <w:t>{</w:t>
      </w:r>
      <w:r w:rsidRPr="00B76BE7">
        <w:rPr>
          <w:rFonts w:ascii="QCF_P269" w:hAnsi="QCF_P269" w:cs="QCF_P269"/>
          <w:sz w:val="18"/>
          <w:szCs w:val="18"/>
          <w:rtl/>
        </w:rPr>
        <w:t>ﭬ ﭭ ﭮ ﭯ ﭰ ﭱ</w:t>
      </w:r>
      <w:r w:rsidRPr="00B76BE7">
        <w:rPr>
          <w:rFonts w:ascii="QCF_P269" w:hAnsi="QCF_P269" w:cs="DecoType Thuluth"/>
          <w:sz w:val="18"/>
          <w:szCs w:val="18"/>
          <w:rtl/>
        </w:rPr>
        <w:t>}</w:t>
      </w:r>
      <w:r w:rsidRPr="00B76BE7">
        <w:rPr>
          <w:rFonts w:ascii="Tahoma" w:hAnsi="Tahoma"/>
          <w:sz w:val="18"/>
          <w:szCs w:val="18"/>
          <w:rtl/>
        </w:rPr>
        <w:t xml:space="preserve"> [النحل: 18]، وهذا أولًا، وهل من الجائز ثانيًا أن يقال: لما خلقت بقدرتي؟ فالجواب: لا، إجماعًا أيضًا فيما أعتقد؛ لأن الذي ندين به نحن وإياهم أن لله قدرة واحدة وباهرة، وهو على كل شيء قدير، لعدم الدليل على التعدد. هكذا يتضح الصواب في المسألة بإذن الله.</w:t>
      </w:r>
    </w:p>
    <w:p w:rsidR="00876B22" w:rsidRPr="00B76BE7" w:rsidRDefault="00876B22" w:rsidP="00B76BE7">
      <w:pPr>
        <w:pStyle w:val="NormalWeb"/>
        <w:bidi/>
        <w:spacing w:before="0" w:beforeAutospacing="0" w:after="0" w:afterAutospacing="0"/>
        <w:jc w:val="lowKashida"/>
        <w:rPr>
          <w:rFonts w:ascii="Tahoma" w:hAnsi="Tahoma"/>
          <w:sz w:val="18"/>
          <w:szCs w:val="18"/>
        </w:rPr>
      </w:pPr>
      <w:r w:rsidRPr="00B76BE7">
        <w:rPr>
          <w:rFonts w:ascii="Tahoma" w:hAnsi="Tahoma"/>
          <w:sz w:val="18"/>
          <w:szCs w:val="18"/>
          <w:rtl/>
        </w:rPr>
        <w:t xml:space="preserve">وما ذكره في تفسير آية المائدة يقال في تفسير آية ص، فإذا هما يدان تليقان بالله </w:t>
      </w:r>
      <w:r w:rsidRPr="00B76BE7">
        <w:rPr>
          <w:rFonts w:ascii="Tahoma" w:hAnsi="Tahoma" w:cs="Traditional Arabic"/>
          <w:sz w:val="18"/>
          <w:szCs w:val="18"/>
          <w:rtl/>
        </w:rPr>
        <w:t>-</w:t>
      </w:r>
      <w:r w:rsidRPr="00B76BE7">
        <w:rPr>
          <w:rFonts w:ascii="Tahoma" w:hAnsi="Tahoma"/>
          <w:sz w:val="18"/>
          <w:szCs w:val="18"/>
          <w:rtl/>
        </w:rPr>
        <w:t>تبارك وتعالى</w:t>
      </w:r>
      <w:r w:rsidRPr="00B76BE7">
        <w:rPr>
          <w:rFonts w:ascii="Tahoma" w:hAnsi="Tahoma" w:cs="Traditional Arabic"/>
          <w:sz w:val="18"/>
          <w:szCs w:val="18"/>
          <w:rtl/>
        </w:rPr>
        <w:t>-</w:t>
      </w:r>
      <w:r w:rsidRPr="00B76BE7">
        <w:rPr>
          <w:rFonts w:ascii="Tahoma" w:hAnsi="Tahoma"/>
          <w:sz w:val="18"/>
          <w:szCs w:val="18"/>
          <w:rtl/>
        </w:rPr>
        <w:t xml:space="preserve"> لا القدرة؛ لأن القدرة صفة أخرى غير اليد كما علمنا، ولا النعمة لما شرحنا، ولا الجارحة؛ لأن الجارحة للمخلوق، ولا تشبه يده يد المخلوق؛ إذ ليس كمثله شيء. </w:t>
      </w:r>
    </w:p>
    <w:p w:rsidR="00876B22" w:rsidRPr="00B76BE7" w:rsidRDefault="00876B22" w:rsidP="00B76BE7">
      <w:pPr>
        <w:pStyle w:val="NormalWeb"/>
        <w:bidi/>
        <w:spacing w:before="0" w:beforeAutospacing="0" w:after="0" w:afterAutospacing="0"/>
        <w:jc w:val="lowKashida"/>
        <w:rPr>
          <w:rFonts w:ascii="Tahoma" w:hAnsi="Tahoma"/>
          <w:sz w:val="18"/>
          <w:szCs w:val="18"/>
        </w:rPr>
      </w:pPr>
      <w:r w:rsidRPr="00B76BE7">
        <w:rPr>
          <w:rFonts w:ascii="Tahoma" w:hAnsi="Tahoma"/>
          <w:spacing w:val="-6"/>
          <w:sz w:val="18"/>
          <w:szCs w:val="18"/>
          <w:rtl/>
        </w:rPr>
        <w:t xml:space="preserve">قال الإمام أبو الحسن الأشعري وهو يناقش تفسير الخلف لآية ص: "فلو كان الله </w:t>
      </w:r>
      <w:r w:rsidRPr="00B76BE7">
        <w:rPr>
          <w:rFonts w:ascii="AGA Arabesque" w:hAnsi="AGA Arabesque" w:cs="Tahoma"/>
          <w:spacing w:val="-6"/>
          <w:position w:val="-4"/>
          <w:sz w:val="18"/>
          <w:szCs w:val="18"/>
        </w:rPr>
        <w:t></w:t>
      </w:r>
      <w:r w:rsidRPr="00B76BE7">
        <w:rPr>
          <w:rFonts w:ascii="Tahoma" w:hAnsi="Tahoma"/>
          <w:sz w:val="18"/>
          <w:szCs w:val="18"/>
          <w:rtl/>
        </w:rPr>
        <w:t xml:space="preserve"> عنى بقوله </w:t>
      </w:r>
      <w:r w:rsidRPr="00B76BE7">
        <w:rPr>
          <w:rFonts w:ascii="Tahoma" w:hAnsi="Tahoma" w:cs="DecoType Thuluth"/>
          <w:sz w:val="18"/>
          <w:szCs w:val="18"/>
          <w:rtl/>
        </w:rPr>
        <w:t>{</w:t>
      </w:r>
      <w:r w:rsidRPr="00B76BE7">
        <w:rPr>
          <w:rFonts w:ascii="QCF_P457" w:hAnsi="QCF_P457" w:cs="QCF_P457"/>
          <w:sz w:val="18"/>
          <w:szCs w:val="18"/>
          <w:rtl/>
        </w:rPr>
        <w:t>ﯢ ﯣ ﯤ</w:t>
      </w:r>
      <w:r w:rsidRPr="00B76BE7">
        <w:rPr>
          <w:rFonts w:ascii="QCF_P457" w:hAnsi="QCF_P457" w:cs="DecoType Thuluth"/>
          <w:sz w:val="18"/>
          <w:szCs w:val="18"/>
          <w:rtl/>
        </w:rPr>
        <w:t>}</w:t>
      </w:r>
      <w:r w:rsidRPr="00B76BE7">
        <w:rPr>
          <w:rFonts w:ascii="Tahoma" w:hAnsi="Tahoma"/>
          <w:sz w:val="18"/>
          <w:szCs w:val="18"/>
          <w:rtl/>
        </w:rPr>
        <w:t xml:space="preserve"> [ص: 75] القدرة؛ لم يكن لآدم </w:t>
      </w:r>
      <w:r w:rsidRPr="00B76BE7">
        <w:rPr>
          <w:rFonts w:ascii="Tahoma" w:hAnsi="Tahoma" w:cs="SC_ALYERMOOK"/>
          <w:position w:val="-4"/>
          <w:sz w:val="18"/>
          <w:szCs w:val="18"/>
          <w:rtl/>
        </w:rPr>
        <w:t>#</w:t>
      </w:r>
      <w:r w:rsidRPr="00B76BE7">
        <w:rPr>
          <w:rFonts w:ascii="Tahoma" w:hAnsi="Tahoma"/>
          <w:sz w:val="18"/>
          <w:szCs w:val="18"/>
          <w:rtl/>
        </w:rPr>
        <w:t xml:space="preserve"> على إبليس في ذلك ميزة، والله </w:t>
      </w:r>
      <w:r w:rsidRPr="00B76BE7">
        <w:rPr>
          <w:rFonts w:ascii="AGA Arabesque" w:hAnsi="AGA Arabesque" w:cs="Tahoma"/>
          <w:position w:val="-4"/>
          <w:sz w:val="18"/>
          <w:szCs w:val="18"/>
        </w:rPr>
        <w:t></w:t>
      </w:r>
      <w:r w:rsidRPr="00B76BE7">
        <w:rPr>
          <w:rFonts w:ascii="Tahoma" w:hAnsi="Tahoma"/>
          <w:sz w:val="18"/>
          <w:szCs w:val="18"/>
          <w:rtl/>
        </w:rPr>
        <w:t xml:space="preserve"> أراد أن يُري أن لآدم على إبليس فضلًا خلقه بيده دونه، ولو كان خالقًا لإبليس بيديه كما خلق آدم </w:t>
      </w:r>
      <w:r w:rsidRPr="00B76BE7">
        <w:rPr>
          <w:rFonts w:ascii="Tahoma" w:hAnsi="Tahoma" w:cs="SC_ALYERMOOK"/>
          <w:position w:val="-4"/>
          <w:sz w:val="18"/>
          <w:szCs w:val="18"/>
          <w:rtl/>
        </w:rPr>
        <w:t>#</w:t>
      </w:r>
      <w:r w:rsidRPr="00B76BE7">
        <w:rPr>
          <w:rFonts w:ascii="Tahoma" w:hAnsi="Tahoma"/>
          <w:sz w:val="18"/>
          <w:szCs w:val="18"/>
          <w:rtl/>
        </w:rPr>
        <w:t xml:space="preserve"> بيديه؛ لم يكن لتفضيله عليه بذلك وجه، وكان إبليس يقول محتجًّا على ربه: فقد خلقتني بيديك كما خلقت آدم بهما، فلما أراد الله </w:t>
      </w:r>
      <w:r w:rsidRPr="00B76BE7">
        <w:rPr>
          <w:rFonts w:ascii="AGA Arabesque" w:hAnsi="AGA Arabesque" w:cs="Tahoma"/>
          <w:position w:val="-4"/>
          <w:sz w:val="18"/>
          <w:szCs w:val="18"/>
        </w:rPr>
        <w:t></w:t>
      </w:r>
      <w:r w:rsidRPr="00B76BE7">
        <w:rPr>
          <w:rFonts w:ascii="Tahoma" w:hAnsi="Tahoma"/>
          <w:sz w:val="18"/>
          <w:szCs w:val="18"/>
          <w:rtl/>
        </w:rPr>
        <w:t xml:space="preserve"> تفضيله عليه بذلك قال له موبخًا استكباره على آدم أن يسجد له: </w:t>
      </w:r>
      <w:r w:rsidRPr="00B76BE7">
        <w:rPr>
          <w:rFonts w:ascii="Tahoma" w:hAnsi="Tahoma" w:cs="DecoType Thuluth"/>
          <w:sz w:val="18"/>
          <w:szCs w:val="18"/>
          <w:rtl/>
        </w:rPr>
        <w:t>{</w:t>
      </w:r>
      <w:r w:rsidRPr="00B76BE7">
        <w:rPr>
          <w:rFonts w:ascii="QCF_P457" w:hAnsi="QCF_P457" w:cs="QCF_P457"/>
          <w:sz w:val="18"/>
          <w:szCs w:val="18"/>
          <w:rtl/>
        </w:rPr>
        <w:t>ﯞ ﯟ ﯠ ﯡ ﯢ ﯣ ﯤ ﯥ ﯦ</w:t>
      </w:r>
      <w:r w:rsidRPr="00B76BE7">
        <w:rPr>
          <w:rFonts w:ascii="QCF_P457" w:hAnsi="QCF_P457" w:cs="DecoType Thuluth"/>
          <w:sz w:val="18"/>
          <w:szCs w:val="18"/>
          <w:rtl/>
        </w:rPr>
        <w:t>}</w:t>
      </w:r>
      <w:r w:rsidRPr="00B76BE7">
        <w:rPr>
          <w:rFonts w:ascii="Tahoma" w:hAnsi="Tahoma"/>
          <w:sz w:val="18"/>
          <w:szCs w:val="18"/>
          <w:rtl/>
        </w:rPr>
        <w:t xml:space="preserve">؛ فدل على أنه ليس معنى الآية القدرة، إذ إن الله </w:t>
      </w:r>
      <w:r w:rsidRPr="00B76BE7">
        <w:rPr>
          <w:rFonts w:ascii="AGA Arabesque" w:hAnsi="AGA Arabesque" w:cs="Tahoma"/>
          <w:position w:val="-4"/>
          <w:sz w:val="18"/>
          <w:szCs w:val="18"/>
        </w:rPr>
        <w:t></w:t>
      </w:r>
      <w:r w:rsidRPr="00B76BE7">
        <w:rPr>
          <w:rFonts w:ascii="Tahoma" w:hAnsi="Tahoma"/>
          <w:sz w:val="18"/>
          <w:szCs w:val="18"/>
          <w:rtl/>
        </w:rPr>
        <w:t xml:space="preserve"> خلق الأشياء جميعها بقدرته، وإنما أراد إثبات يدين لم يشارك إبليس آدم </w:t>
      </w:r>
      <w:r w:rsidRPr="00B76BE7">
        <w:rPr>
          <w:rFonts w:ascii="Tahoma" w:hAnsi="Tahoma" w:cs="SC_ALYERMOOK"/>
          <w:position w:val="-4"/>
          <w:sz w:val="18"/>
          <w:szCs w:val="18"/>
          <w:rtl/>
        </w:rPr>
        <w:t>#</w:t>
      </w:r>
      <w:r w:rsidRPr="00B76BE7">
        <w:rPr>
          <w:rFonts w:ascii="Tahoma" w:hAnsi="Tahoma"/>
          <w:sz w:val="18"/>
          <w:szCs w:val="18"/>
          <w:rtl/>
        </w:rPr>
        <w:t xml:space="preserve"> في أن خلق بهما.</w:t>
      </w:r>
    </w:p>
    <w:p w:rsidR="00876B22" w:rsidRPr="00B76BE7" w:rsidRDefault="00876B22" w:rsidP="00B76BE7">
      <w:pPr>
        <w:pStyle w:val="NormalWeb"/>
        <w:bidi/>
        <w:spacing w:before="0" w:beforeAutospacing="0" w:after="0" w:afterAutospacing="0"/>
        <w:jc w:val="lowKashida"/>
        <w:rPr>
          <w:rFonts w:ascii="Tahoma" w:hAnsi="Tahoma"/>
          <w:sz w:val="18"/>
          <w:szCs w:val="18"/>
        </w:rPr>
      </w:pPr>
      <w:r w:rsidRPr="00B76BE7">
        <w:rPr>
          <w:rFonts w:ascii="Tahoma" w:hAnsi="Tahoma"/>
          <w:sz w:val="18"/>
          <w:szCs w:val="18"/>
          <w:rtl/>
        </w:rPr>
        <w:t xml:space="preserve">وليس يدخل قوله </w:t>
      </w:r>
      <w:r w:rsidRPr="00B76BE7">
        <w:rPr>
          <w:rFonts w:ascii="AGA Arabesque" w:hAnsi="AGA Arabesque" w:cs="Tahoma"/>
          <w:position w:val="-4"/>
          <w:sz w:val="18"/>
          <w:szCs w:val="18"/>
        </w:rPr>
        <w:t></w:t>
      </w:r>
      <w:r w:rsidRPr="00B76BE7">
        <w:rPr>
          <w:rFonts w:ascii="Tahoma" w:hAnsi="Tahoma"/>
          <w:sz w:val="18"/>
          <w:szCs w:val="18"/>
          <w:rtl/>
          <w:lang w:bidi="ar-EG"/>
        </w:rPr>
        <w:t xml:space="preserve">: </w:t>
      </w:r>
      <w:r w:rsidRPr="00B76BE7">
        <w:rPr>
          <w:rFonts w:ascii="Tahoma" w:hAnsi="Tahoma" w:cs="DecoType Thuluth"/>
          <w:sz w:val="18"/>
          <w:szCs w:val="18"/>
          <w:rtl/>
        </w:rPr>
        <w:t>{</w:t>
      </w:r>
      <w:r w:rsidRPr="00B76BE7">
        <w:rPr>
          <w:rFonts w:ascii="QCF_P457" w:hAnsi="QCF_P457" w:cs="QCF_P457"/>
          <w:sz w:val="18"/>
          <w:szCs w:val="18"/>
          <w:rtl/>
        </w:rPr>
        <w:t>ﯢ ﯣ ﯤ</w:t>
      </w:r>
      <w:r w:rsidRPr="00B76BE7">
        <w:rPr>
          <w:rFonts w:ascii="QCF_P457" w:hAnsi="QCF_P457" w:cs="DecoType Thuluth"/>
          <w:sz w:val="18"/>
          <w:szCs w:val="18"/>
          <w:rtl/>
        </w:rPr>
        <w:t>}</w:t>
      </w:r>
      <w:r w:rsidRPr="00B76BE7">
        <w:rPr>
          <w:rFonts w:ascii="Tahoma" w:hAnsi="Tahoma"/>
          <w:sz w:val="18"/>
          <w:szCs w:val="18"/>
          <w:rtl/>
        </w:rPr>
        <w:t xml:space="preserve"> أن يكون معنى ذلك إثبات يدين نعمتين، أو يكون معنى ذلك إثبات يدين جارحتين، أو يكون معنى ذلك إثبات يدين قدرتين، أو يكون معنى ذلك إثبات يدين ليستا نعمتين، ولا جارحتين، ولا قدرتين، لا يوصفان إلا كما وصف الله </w:t>
      </w:r>
      <w:r w:rsidRPr="00B76BE7">
        <w:rPr>
          <w:rFonts w:ascii="AGA Arabesque" w:hAnsi="AGA Arabesque" w:cs="Tahoma"/>
          <w:position w:val="-4"/>
          <w:sz w:val="18"/>
          <w:szCs w:val="18"/>
        </w:rPr>
        <w:t></w:t>
      </w:r>
      <w:r w:rsidRPr="00B76BE7">
        <w:rPr>
          <w:rFonts w:ascii="Tahoma" w:hAnsi="Tahoma"/>
          <w:sz w:val="18"/>
          <w:szCs w:val="18"/>
          <w:rtl/>
        </w:rPr>
        <w:t xml:space="preserve">. فلا يجوز أن يكون معنى ذلك نعمتين؛ لأنه لا يجوز عند أهل اللسان أن يقول قائل: عملت بيدي وهو يعني: نعمتين، ولا يجوز عندنا ولا عند خصومنا أن نعني جريحتين، ولا يجوز عند خصومنا أن نعني قدرتين، وإذا فسدت الأقسام الثلاثة؛ صحَّ القسم الرابع، وهو أن معنى قوله: </w:t>
      </w:r>
      <w:r w:rsidRPr="00B76BE7">
        <w:rPr>
          <w:rFonts w:ascii="Tahoma" w:hAnsi="Tahoma" w:cs="DecoType Thuluth"/>
          <w:sz w:val="18"/>
          <w:szCs w:val="18"/>
          <w:rtl/>
        </w:rPr>
        <w:t>{</w:t>
      </w:r>
      <w:r w:rsidRPr="00B76BE7">
        <w:rPr>
          <w:rFonts w:ascii="QCF_P457" w:hAnsi="QCF_P457" w:cs="QCF_P457"/>
          <w:sz w:val="18"/>
          <w:szCs w:val="18"/>
          <w:rtl/>
        </w:rPr>
        <w:t>ﯤ</w:t>
      </w:r>
      <w:r w:rsidRPr="00B76BE7">
        <w:rPr>
          <w:rFonts w:ascii="QCF_P457" w:hAnsi="QCF_P457" w:cs="DecoType Thuluth"/>
          <w:sz w:val="18"/>
          <w:szCs w:val="18"/>
          <w:rtl/>
        </w:rPr>
        <w:t>}</w:t>
      </w:r>
      <w:r w:rsidRPr="00B76BE7">
        <w:rPr>
          <w:rFonts w:ascii="Tahoma" w:hAnsi="Tahoma"/>
          <w:sz w:val="18"/>
          <w:szCs w:val="18"/>
          <w:rtl/>
        </w:rPr>
        <w:t xml:space="preserve"> إثبات اليدين ليستا جارحتين، ولا قدرتين، ولا نعمتين، لا يوصفان إلا بأن يقال: بأنهما يدان ليستا كالأيدي خارجتان عن سائر الوجوه الثلاثة التي ثبتت.</w:t>
      </w:r>
    </w:p>
    <w:p w:rsidR="00876B22" w:rsidRPr="00B76BE7" w:rsidRDefault="00876B22" w:rsidP="00B76BE7">
      <w:pPr>
        <w:pStyle w:val="NormalWeb"/>
        <w:bidi/>
        <w:spacing w:before="0" w:beforeAutospacing="0" w:after="0" w:afterAutospacing="0"/>
        <w:jc w:val="lowKashida"/>
        <w:rPr>
          <w:rFonts w:ascii="Tahoma" w:hAnsi="Tahoma"/>
          <w:sz w:val="18"/>
          <w:szCs w:val="18"/>
        </w:rPr>
      </w:pPr>
      <w:r w:rsidRPr="00B76BE7">
        <w:rPr>
          <w:rFonts w:ascii="Tahoma" w:hAnsi="Tahoma"/>
          <w:sz w:val="18"/>
          <w:szCs w:val="18"/>
          <w:rtl/>
        </w:rPr>
        <w:t xml:space="preserve">هذا كلام واضح غني عن التعليق، إلا أن الذي ينبغي التنبيه عليه أن اليد في غير هذا السياق قد تأتي بمعنى النعمة، وتجمع على أياد يقال: لفلان علي يد، أو أياد، ولكن السياق الذي في الآيتين يأبى هذا المعنى، كما ناقش الإمام أبو الحسن </w:t>
      </w:r>
      <w:r w:rsidRPr="00B76BE7">
        <w:rPr>
          <w:rFonts w:ascii="Tahoma" w:hAnsi="Tahoma" w:cs="Traditional Arabic"/>
          <w:sz w:val="18"/>
          <w:szCs w:val="18"/>
          <w:rtl/>
        </w:rPr>
        <w:t>-</w:t>
      </w:r>
      <w:r w:rsidRPr="00B76BE7">
        <w:rPr>
          <w:rFonts w:ascii="Tahoma" w:hAnsi="Tahoma"/>
          <w:sz w:val="18"/>
          <w:szCs w:val="18"/>
          <w:rtl/>
        </w:rPr>
        <w:t xml:space="preserve">رحمه الله. أما اليد بمعنى القدرة لا أعلم ثبوت هذا المعنى في اللغة، اللهم إلا إذا كان من باب الكناية، والله أعلم. وأما قوله تعالى: </w:t>
      </w:r>
      <w:r w:rsidRPr="00B76BE7">
        <w:rPr>
          <w:rFonts w:ascii="Tahoma" w:hAnsi="Tahoma" w:cs="DecoType Thuluth"/>
          <w:sz w:val="18"/>
          <w:szCs w:val="18"/>
          <w:rtl/>
        </w:rPr>
        <w:t>{</w:t>
      </w:r>
      <w:r w:rsidRPr="00B76BE7">
        <w:rPr>
          <w:rFonts w:ascii="QCF_P522" w:hAnsi="QCF_P522" w:cs="QCF_P522"/>
          <w:sz w:val="18"/>
          <w:szCs w:val="18"/>
          <w:rtl/>
        </w:rPr>
        <w:t>ﯰ ﯱ ﯲ</w:t>
      </w:r>
      <w:r w:rsidRPr="00B76BE7">
        <w:rPr>
          <w:rFonts w:ascii="QCF_P522" w:hAnsi="QCF_P522" w:cs="DecoType Thuluth"/>
          <w:sz w:val="18"/>
          <w:szCs w:val="18"/>
          <w:rtl/>
        </w:rPr>
        <w:t>}</w:t>
      </w:r>
      <w:r w:rsidRPr="00B76BE7">
        <w:rPr>
          <w:rFonts w:ascii="Tahoma" w:hAnsi="Tahoma"/>
          <w:sz w:val="18"/>
          <w:szCs w:val="18"/>
          <w:rtl/>
        </w:rPr>
        <w:t xml:space="preserve"> [الذاريات: 47]، فليس لفظ (أيد) هنا جمع يد، كما قد يتوهم، وإنما هو مصدر آد الرجل يئيد أيدًا أي: قوي، هكذا قال المفسرون.</w:t>
      </w:r>
    </w:p>
    <w:p w:rsidR="00876B22" w:rsidRPr="00B76BE7" w:rsidRDefault="00876B22" w:rsidP="00B76BE7">
      <w:pPr>
        <w:pStyle w:val="NormalWeb"/>
        <w:bidi/>
        <w:spacing w:before="0" w:beforeAutospacing="0" w:after="0" w:afterAutospacing="0"/>
        <w:jc w:val="lowKashida"/>
        <w:rPr>
          <w:rFonts w:ascii="Tahoma" w:hAnsi="Tahoma"/>
          <w:sz w:val="18"/>
          <w:szCs w:val="18"/>
        </w:rPr>
      </w:pPr>
      <w:r w:rsidRPr="00B76BE7">
        <w:rPr>
          <w:rFonts w:ascii="Tahoma" w:hAnsi="Tahoma"/>
          <w:sz w:val="18"/>
          <w:szCs w:val="18"/>
          <w:rtl/>
        </w:rPr>
        <w:t xml:space="preserve">وقد وردت في صفة اليد عدة أحاديث صحاحًا، ولكننا نرى أن نقتصر على ذكر حديث واحد اتفق على إخراجه الشيخان، وهو حديث احتجاج آدم وموسى </w:t>
      </w:r>
      <w:r w:rsidRPr="00B76BE7">
        <w:rPr>
          <w:rFonts w:ascii="Tahoma" w:hAnsi="Tahoma" w:cs="Traditional Arabic"/>
          <w:sz w:val="18"/>
          <w:szCs w:val="18"/>
          <w:rtl/>
        </w:rPr>
        <w:t>-</w:t>
      </w:r>
      <w:r w:rsidRPr="00B76BE7">
        <w:rPr>
          <w:rFonts w:ascii="Tahoma" w:hAnsi="Tahoma"/>
          <w:sz w:val="18"/>
          <w:szCs w:val="18"/>
          <w:rtl/>
        </w:rPr>
        <w:t>عليهما السلام</w:t>
      </w:r>
      <w:r w:rsidRPr="00B76BE7">
        <w:rPr>
          <w:rFonts w:ascii="Tahoma" w:hAnsi="Tahoma" w:cs="Traditional Arabic"/>
          <w:sz w:val="18"/>
          <w:szCs w:val="18"/>
          <w:rtl/>
        </w:rPr>
        <w:t>-</w:t>
      </w:r>
      <w:r w:rsidRPr="00B76BE7">
        <w:rPr>
          <w:rFonts w:ascii="Tahoma" w:hAnsi="Tahoma"/>
          <w:sz w:val="18"/>
          <w:szCs w:val="18"/>
          <w:rtl/>
        </w:rPr>
        <w:t xml:space="preserve"> </w:t>
      </w:r>
      <w:r w:rsidRPr="00B76BE7">
        <w:rPr>
          <w:rFonts w:ascii="Tahoma" w:hAnsi="Tahoma"/>
          <w:sz w:val="18"/>
          <w:szCs w:val="18"/>
          <w:rtl/>
        </w:rPr>
        <w:lastRenderedPageBreak/>
        <w:t xml:space="preserve">ومحل الشاهد منه فقال آدم: ((يا موسى اصطفاك الله بكلامه، وخط لك التوراة بيده))، قال ابن بطال عند تفسير قوله تعالى: </w:t>
      </w:r>
      <w:r w:rsidRPr="00B76BE7">
        <w:rPr>
          <w:rFonts w:ascii="Tahoma" w:hAnsi="Tahoma" w:cs="DecoType Thuluth"/>
          <w:sz w:val="18"/>
          <w:szCs w:val="18"/>
          <w:rtl/>
        </w:rPr>
        <w:t>{</w:t>
      </w:r>
      <w:r w:rsidRPr="00B76BE7">
        <w:rPr>
          <w:rFonts w:ascii="QCF_P457" w:hAnsi="QCF_P457" w:cs="QCF_P457"/>
          <w:sz w:val="18"/>
          <w:szCs w:val="18"/>
          <w:rtl/>
        </w:rPr>
        <w:t>ﯢ ﯣ ﯤ</w:t>
      </w:r>
      <w:r w:rsidRPr="00B76BE7">
        <w:rPr>
          <w:rFonts w:ascii="QCF_P457" w:hAnsi="QCF_P457" w:cs="DecoType Thuluth"/>
          <w:sz w:val="18"/>
          <w:szCs w:val="18"/>
          <w:rtl/>
        </w:rPr>
        <w:t>}</w:t>
      </w:r>
      <w:r w:rsidRPr="00B76BE7">
        <w:rPr>
          <w:rFonts w:ascii="Tahoma" w:hAnsi="Tahoma"/>
          <w:sz w:val="18"/>
          <w:szCs w:val="18"/>
          <w:rtl/>
        </w:rPr>
        <w:t xml:space="preserve"> في هذه الآية إثبات يدين لله تعالى، وهما صفتان من صفات ذاته، وليستا بجارحتين، ثم لو استقرأنا القرآن الكريم؛ لوجدنا أن لفظ اليد جاء في القرآن على ثلاثة أنواع:</w:t>
      </w:r>
    </w:p>
    <w:p w:rsidR="00876B22" w:rsidRPr="00B76BE7" w:rsidRDefault="00876B22" w:rsidP="00B76BE7">
      <w:pPr>
        <w:pStyle w:val="NormalWeb"/>
        <w:numPr>
          <w:ilvl w:val="0"/>
          <w:numId w:val="1"/>
        </w:numPr>
        <w:tabs>
          <w:tab w:val="clear" w:pos="720"/>
          <w:tab w:val="num" w:pos="360"/>
        </w:tabs>
        <w:bidi/>
        <w:spacing w:before="0" w:beforeAutospacing="0" w:after="0" w:afterAutospacing="0"/>
        <w:ind w:left="360"/>
        <w:jc w:val="lowKashida"/>
        <w:rPr>
          <w:rFonts w:ascii="Tahoma" w:hAnsi="Tahoma"/>
          <w:sz w:val="18"/>
          <w:szCs w:val="18"/>
        </w:rPr>
      </w:pPr>
      <w:r w:rsidRPr="00B76BE7">
        <w:rPr>
          <w:rFonts w:ascii="Tahoma" w:hAnsi="Tahoma"/>
          <w:sz w:val="18"/>
          <w:szCs w:val="18"/>
          <w:rtl/>
        </w:rPr>
        <w:t xml:space="preserve">جاء مفردًا كقوله تعالى: </w:t>
      </w:r>
      <w:r w:rsidRPr="00B76BE7">
        <w:rPr>
          <w:rFonts w:ascii="Tahoma" w:hAnsi="Tahoma" w:cs="DecoType Thuluth"/>
          <w:sz w:val="18"/>
          <w:szCs w:val="18"/>
          <w:rtl/>
        </w:rPr>
        <w:t>{</w:t>
      </w:r>
      <w:r w:rsidRPr="00B76BE7">
        <w:rPr>
          <w:rFonts w:ascii="QCF_P053" w:hAnsi="QCF_P053" w:cs="QCF_P053"/>
          <w:sz w:val="18"/>
          <w:szCs w:val="18"/>
          <w:rtl/>
        </w:rPr>
        <w:t>ﮚ ﮛ</w:t>
      </w:r>
      <w:r w:rsidRPr="00B76BE7">
        <w:rPr>
          <w:rFonts w:ascii="QCF_P053" w:hAnsi="QCF_P053" w:cs="DecoType Thuluth"/>
          <w:sz w:val="18"/>
          <w:szCs w:val="18"/>
          <w:rtl/>
        </w:rPr>
        <w:t>}</w:t>
      </w:r>
      <w:r w:rsidRPr="00B76BE7">
        <w:rPr>
          <w:rFonts w:ascii="Tahoma" w:hAnsi="Tahoma"/>
          <w:sz w:val="18"/>
          <w:szCs w:val="18"/>
          <w:rtl/>
        </w:rPr>
        <w:t xml:space="preserve"> [آل عمران: 26]. </w:t>
      </w:r>
    </w:p>
    <w:p w:rsidR="00876B22" w:rsidRPr="00B76BE7" w:rsidRDefault="00876B22" w:rsidP="00B76BE7">
      <w:pPr>
        <w:pStyle w:val="NormalWeb"/>
        <w:numPr>
          <w:ilvl w:val="0"/>
          <w:numId w:val="1"/>
        </w:numPr>
        <w:tabs>
          <w:tab w:val="clear" w:pos="720"/>
          <w:tab w:val="num" w:pos="360"/>
        </w:tabs>
        <w:bidi/>
        <w:spacing w:before="0" w:beforeAutospacing="0" w:after="0" w:afterAutospacing="0"/>
        <w:ind w:left="360"/>
        <w:jc w:val="lowKashida"/>
        <w:rPr>
          <w:rFonts w:ascii="Tahoma" w:hAnsi="Tahoma"/>
          <w:sz w:val="18"/>
          <w:szCs w:val="18"/>
        </w:rPr>
      </w:pPr>
      <w:r w:rsidRPr="00B76BE7">
        <w:rPr>
          <w:rFonts w:ascii="Tahoma" w:hAnsi="Tahoma"/>
          <w:sz w:val="18"/>
          <w:szCs w:val="18"/>
          <w:rtl/>
        </w:rPr>
        <w:t xml:space="preserve">جاء مثنى كقوله تعالى: </w:t>
      </w:r>
      <w:r w:rsidRPr="00B76BE7">
        <w:rPr>
          <w:rFonts w:ascii="Tahoma" w:hAnsi="Tahoma" w:cs="DecoType Thuluth"/>
          <w:sz w:val="18"/>
          <w:szCs w:val="18"/>
          <w:rtl/>
        </w:rPr>
        <w:t>{</w:t>
      </w:r>
      <w:r w:rsidRPr="00B76BE7">
        <w:rPr>
          <w:rFonts w:ascii="QCF_P457" w:hAnsi="QCF_P457" w:cs="QCF_P457"/>
          <w:sz w:val="18"/>
          <w:szCs w:val="18"/>
          <w:rtl/>
        </w:rPr>
        <w:t>ﯢ ﯣ ﯤ</w:t>
      </w:r>
      <w:r w:rsidRPr="00B76BE7">
        <w:rPr>
          <w:rFonts w:ascii="QCF_P457" w:hAnsi="QCF_P457" w:cs="DecoType Thuluth"/>
          <w:sz w:val="18"/>
          <w:szCs w:val="18"/>
          <w:rtl/>
        </w:rPr>
        <w:t>}</w:t>
      </w:r>
      <w:r w:rsidRPr="00B76BE7">
        <w:rPr>
          <w:rFonts w:ascii="Tahoma" w:hAnsi="Tahoma"/>
          <w:sz w:val="18"/>
          <w:szCs w:val="18"/>
          <w:rtl/>
        </w:rPr>
        <w:t xml:space="preserve">. </w:t>
      </w:r>
    </w:p>
    <w:p w:rsidR="00876B22" w:rsidRPr="00B76BE7" w:rsidRDefault="00876B22" w:rsidP="00B76BE7">
      <w:pPr>
        <w:pStyle w:val="NormalWeb"/>
        <w:numPr>
          <w:ilvl w:val="0"/>
          <w:numId w:val="1"/>
        </w:numPr>
        <w:tabs>
          <w:tab w:val="clear" w:pos="720"/>
          <w:tab w:val="num" w:pos="360"/>
        </w:tabs>
        <w:bidi/>
        <w:spacing w:before="0" w:beforeAutospacing="0" w:after="0" w:afterAutospacing="0"/>
        <w:ind w:left="360"/>
        <w:jc w:val="lowKashida"/>
        <w:rPr>
          <w:rFonts w:ascii="Tahoma" w:hAnsi="Tahoma"/>
          <w:sz w:val="18"/>
          <w:szCs w:val="18"/>
        </w:rPr>
      </w:pPr>
      <w:r w:rsidRPr="00B76BE7">
        <w:rPr>
          <w:rFonts w:ascii="Tahoma" w:hAnsi="Tahoma"/>
          <w:sz w:val="18"/>
          <w:szCs w:val="18"/>
          <w:rtl/>
        </w:rPr>
        <w:t xml:space="preserve">جاء جمعًا كقوله تعالى: </w:t>
      </w:r>
      <w:r w:rsidRPr="00B76BE7">
        <w:rPr>
          <w:rFonts w:ascii="Tahoma" w:hAnsi="Tahoma" w:cs="DecoType Thuluth"/>
          <w:sz w:val="18"/>
          <w:szCs w:val="18"/>
          <w:rtl/>
        </w:rPr>
        <w:t>{</w:t>
      </w:r>
      <w:r w:rsidRPr="00B76BE7">
        <w:rPr>
          <w:rFonts w:ascii="QCF_P445" w:hAnsi="QCF_P445" w:cs="QCF_P445"/>
          <w:sz w:val="18"/>
          <w:szCs w:val="18"/>
          <w:rtl/>
        </w:rPr>
        <w:t>ﭖ ﭗ ﭘ</w:t>
      </w:r>
      <w:r w:rsidRPr="00B76BE7">
        <w:rPr>
          <w:rFonts w:ascii="QCF_P445" w:hAnsi="QCF_P445" w:cs="DecoType Thuluth"/>
          <w:sz w:val="18"/>
          <w:szCs w:val="18"/>
          <w:rtl/>
        </w:rPr>
        <w:t>}</w:t>
      </w:r>
      <w:r w:rsidRPr="00B76BE7">
        <w:rPr>
          <w:rFonts w:ascii="Tahoma" w:hAnsi="Tahoma"/>
          <w:sz w:val="18"/>
          <w:szCs w:val="18"/>
          <w:rtl/>
        </w:rPr>
        <w:t xml:space="preserve"> [يس: 71].</w:t>
      </w:r>
    </w:p>
    <w:p w:rsidR="00876B22" w:rsidRPr="00B76BE7" w:rsidRDefault="00876B22" w:rsidP="00B76BE7">
      <w:pPr>
        <w:pStyle w:val="NormalWeb"/>
        <w:bidi/>
        <w:spacing w:before="0" w:beforeAutospacing="0" w:after="0" w:afterAutospacing="0"/>
        <w:jc w:val="lowKashida"/>
        <w:rPr>
          <w:rFonts w:ascii="Tahoma" w:hAnsi="Tahoma"/>
          <w:sz w:val="18"/>
          <w:szCs w:val="18"/>
        </w:rPr>
      </w:pPr>
      <w:r w:rsidRPr="00B76BE7">
        <w:rPr>
          <w:rFonts w:ascii="Tahoma" w:hAnsi="Tahoma"/>
          <w:sz w:val="18"/>
          <w:szCs w:val="18"/>
          <w:rtl/>
        </w:rPr>
        <w:t xml:space="preserve">وإذا راجعنا هذه الاستعمالات الثلاث لليد نجد أن الله إذا ذكر اليد مثناة يضيف الفعل إلى نفسه بضمير الإفراد، ويتعدى الفعل بالباء إليهما أي: إلى اليدين </w:t>
      </w:r>
      <w:r w:rsidRPr="00B76BE7">
        <w:rPr>
          <w:rFonts w:ascii="Tahoma" w:hAnsi="Tahoma" w:cs="DecoType Thuluth"/>
          <w:sz w:val="18"/>
          <w:szCs w:val="18"/>
          <w:rtl/>
        </w:rPr>
        <w:t>{</w:t>
      </w:r>
      <w:r w:rsidRPr="00B76BE7">
        <w:rPr>
          <w:rFonts w:ascii="QCF_P457" w:hAnsi="QCF_P457" w:cs="QCF_P457"/>
          <w:sz w:val="18"/>
          <w:szCs w:val="18"/>
          <w:rtl/>
        </w:rPr>
        <w:t>ﯢ ﯣ ﯤ</w:t>
      </w:r>
      <w:r w:rsidRPr="00B76BE7">
        <w:rPr>
          <w:rFonts w:ascii="QCF_P457" w:hAnsi="QCF_P457" w:cs="DecoType Thuluth"/>
          <w:sz w:val="18"/>
          <w:szCs w:val="18"/>
          <w:rtl/>
        </w:rPr>
        <w:t>}</w:t>
      </w:r>
      <w:r w:rsidRPr="00B76BE7">
        <w:rPr>
          <w:rFonts w:ascii="Tahoma" w:hAnsi="Tahoma"/>
          <w:sz w:val="18"/>
          <w:szCs w:val="18"/>
          <w:rtl/>
        </w:rPr>
        <w:t xml:space="preserve">، وإذا ذكرها بصيغة الجمع أضاف العمل إلى اليد، والفعل يتعدى بنفسه لا بالباء </w:t>
      </w:r>
      <w:r w:rsidRPr="00B76BE7">
        <w:rPr>
          <w:rFonts w:ascii="Tahoma" w:hAnsi="Tahoma" w:cs="DecoType Thuluth"/>
          <w:sz w:val="18"/>
          <w:szCs w:val="18"/>
          <w:rtl/>
        </w:rPr>
        <w:t>{</w:t>
      </w:r>
      <w:r w:rsidRPr="00B76BE7">
        <w:rPr>
          <w:rFonts w:ascii="QCF_P445" w:hAnsi="QCF_P445" w:cs="QCF_P445"/>
          <w:sz w:val="18"/>
          <w:szCs w:val="18"/>
          <w:rtl/>
        </w:rPr>
        <w:t>ﭖ ﭗ ﭘ</w:t>
      </w:r>
      <w:r w:rsidRPr="00B76BE7">
        <w:rPr>
          <w:rFonts w:ascii="QCF_P445" w:hAnsi="QCF_P445" w:cs="DecoType Thuluth"/>
          <w:sz w:val="18"/>
          <w:szCs w:val="18"/>
          <w:rtl/>
        </w:rPr>
        <w:t>}</w:t>
      </w:r>
      <w:r w:rsidRPr="00B76BE7">
        <w:rPr>
          <w:rFonts w:ascii="Tahoma" w:hAnsi="Tahoma"/>
          <w:sz w:val="18"/>
          <w:szCs w:val="18"/>
          <w:rtl/>
        </w:rPr>
        <w:t xml:space="preserve">. وأما في حالة الجمع يكون معنى </w:t>
      </w:r>
      <w:r w:rsidRPr="00B76BE7">
        <w:rPr>
          <w:rFonts w:ascii="Tahoma" w:hAnsi="Tahoma" w:cs="DecoType Thuluth"/>
          <w:sz w:val="18"/>
          <w:szCs w:val="18"/>
          <w:rtl/>
        </w:rPr>
        <w:t>{</w:t>
      </w:r>
      <w:r w:rsidRPr="00B76BE7">
        <w:rPr>
          <w:rFonts w:ascii="QCF_P445" w:hAnsi="QCF_P445" w:cs="QCF_P445"/>
          <w:sz w:val="18"/>
          <w:szCs w:val="18"/>
          <w:rtl/>
        </w:rPr>
        <w:t>ﭗ ﭘ</w:t>
      </w:r>
      <w:r w:rsidRPr="00B76BE7">
        <w:rPr>
          <w:rFonts w:ascii="Tahoma" w:hAnsi="Tahoma" w:cs="DecoType Thuluth"/>
          <w:sz w:val="18"/>
          <w:szCs w:val="18"/>
          <w:rtl/>
        </w:rPr>
        <w:t>}</w:t>
      </w:r>
      <w:r w:rsidRPr="00B76BE7">
        <w:rPr>
          <w:rFonts w:ascii="Tahoma" w:hAnsi="Tahoma"/>
          <w:sz w:val="18"/>
          <w:szCs w:val="18"/>
          <w:rtl/>
        </w:rPr>
        <w:t xml:space="preserve"> أي: عملنا نحن، وهو يساوي عملنا، خلقنا، ورزقنا، توضيح ذلك من الجائز أن لا يضاف الفعل إلى يد ذي اليد بدلًا من أن يُضاف إليه مباشرة، وهو أسلوب معروف عند العرب، وهو كقوله: </w:t>
      </w:r>
      <w:r w:rsidRPr="00B76BE7">
        <w:rPr>
          <w:rFonts w:ascii="Tahoma" w:hAnsi="Tahoma" w:cs="DecoType Thuluth"/>
          <w:sz w:val="18"/>
          <w:szCs w:val="18"/>
          <w:rtl/>
        </w:rPr>
        <w:t>{</w:t>
      </w:r>
      <w:r w:rsidRPr="00B76BE7">
        <w:rPr>
          <w:rFonts w:ascii="QCF_P333" w:hAnsi="QCF_P333" w:cs="QCF_P333"/>
          <w:sz w:val="18"/>
          <w:szCs w:val="18"/>
          <w:rtl/>
        </w:rPr>
        <w:t>ﮍ ﮎ ﮏ</w:t>
      </w:r>
      <w:r w:rsidRPr="00B76BE7">
        <w:rPr>
          <w:rFonts w:ascii="QCF_P333" w:hAnsi="QCF_P333" w:cs="DecoType Thuluth"/>
          <w:sz w:val="18"/>
          <w:szCs w:val="18"/>
          <w:rtl/>
        </w:rPr>
        <w:t>}</w:t>
      </w:r>
      <w:r w:rsidRPr="00B76BE7">
        <w:rPr>
          <w:rFonts w:ascii="Tahoma" w:hAnsi="Tahoma"/>
          <w:sz w:val="18"/>
          <w:szCs w:val="18"/>
          <w:rtl/>
        </w:rPr>
        <w:t xml:space="preserve"> [الحج: 10] وقوله: </w:t>
      </w:r>
      <w:r w:rsidRPr="00B76BE7">
        <w:rPr>
          <w:rFonts w:ascii="Tahoma" w:hAnsi="Tahoma" w:cs="DecoType Thuluth"/>
          <w:sz w:val="18"/>
          <w:szCs w:val="18"/>
          <w:rtl/>
        </w:rPr>
        <w:t>{</w:t>
      </w:r>
      <w:r w:rsidRPr="00B76BE7">
        <w:rPr>
          <w:rFonts w:ascii="QCF_P486" w:hAnsi="QCF_P486" w:cs="QCF_P486"/>
          <w:sz w:val="18"/>
          <w:szCs w:val="18"/>
          <w:rtl/>
        </w:rPr>
        <w:t>ﰁ ﰂ ﰃ</w:t>
      </w:r>
      <w:r w:rsidRPr="00B76BE7">
        <w:rPr>
          <w:rFonts w:ascii="QCF_P486" w:hAnsi="QCF_P486" w:cs="DecoType Thuluth"/>
          <w:sz w:val="18"/>
          <w:szCs w:val="18"/>
          <w:rtl/>
        </w:rPr>
        <w:t>}</w:t>
      </w:r>
      <w:r w:rsidRPr="00B76BE7">
        <w:rPr>
          <w:rFonts w:ascii="Tahoma" w:hAnsi="Tahoma"/>
          <w:sz w:val="18"/>
          <w:szCs w:val="18"/>
          <w:rtl/>
        </w:rPr>
        <w:t xml:space="preserve"> [الشورى: 30].</w:t>
      </w:r>
    </w:p>
    <w:p w:rsidR="00876B22" w:rsidRPr="00B76BE7" w:rsidRDefault="00876B22" w:rsidP="00B76BE7">
      <w:pPr>
        <w:pStyle w:val="NormalWeb"/>
        <w:bidi/>
        <w:spacing w:before="0" w:beforeAutospacing="0" w:after="0" w:afterAutospacing="0"/>
        <w:jc w:val="lowKashida"/>
        <w:rPr>
          <w:rFonts w:ascii="Tahoma" w:hAnsi="Tahoma"/>
          <w:spacing w:val="-4"/>
          <w:sz w:val="18"/>
          <w:szCs w:val="18"/>
        </w:rPr>
      </w:pPr>
      <w:r w:rsidRPr="00B76BE7">
        <w:rPr>
          <w:rFonts w:ascii="Tahoma" w:hAnsi="Tahoma"/>
          <w:sz w:val="18"/>
          <w:szCs w:val="18"/>
          <w:rtl/>
        </w:rPr>
        <w:t xml:space="preserve">وأما إذا أُضيف الفعل إليه تعالى ثم عُدِّي الفعل بالباء إلى يده المثناة، أو المفردة؛ فهذا مما باشرته يده سبحانه. ويشهد لما ذكرنا ما جاء في حديث الشفاعة الطويل في قوله </w:t>
      </w:r>
      <w:r w:rsidRPr="00B76BE7">
        <w:rPr>
          <w:rFonts w:ascii="AGA Arabesque" w:hAnsi="AGA Arabesque" w:cs="Tahoma"/>
          <w:position w:val="-4"/>
          <w:sz w:val="18"/>
          <w:szCs w:val="18"/>
        </w:rPr>
        <w:t></w:t>
      </w:r>
      <w:r w:rsidRPr="00B76BE7">
        <w:rPr>
          <w:rFonts w:ascii="Tahoma" w:hAnsi="Tahoma"/>
          <w:sz w:val="18"/>
          <w:szCs w:val="18"/>
          <w:rtl/>
        </w:rPr>
        <w:t xml:space="preserve"> في حق آدم وموسى </w:t>
      </w:r>
      <w:r w:rsidRPr="00B76BE7">
        <w:rPr>
          <w:rFonts w:ascii="Tahoma" w:hAnsi="Tahoma" w:cs="Traditional Arabic"/>
          <w:sz w:val="18"/>
          <w:szCs w:val="18"/>
          <w:rtl/>
        </w:rPr>
        <w:t>-</w:t>
      </w:r>
      <w:r w:rsidRPr="00B76BE7">
        <w:rPr>
          <w:rFonts w:ascii="Tahoma" w:hAnsi="Tahoma"/>
          <w:sz w:val="18"/>
          <w:szCs w:val="18"/>
          <w:rtl/>
        </w:rPr>
        <w:t>عليهما السلام</w:t>
      </w:r>
      <w:r w:rsidRPr="00B76BE7">
        <w:rPr>
          <w:rFonts w:ascii="Tahoma" w:hAnsi="Tahoma" w:cs="Traditional Arabic"/>
          <w:sz w:val="18"/>
          <w:szCs w:val="18"/>
          <w:rtl/>
        </w:rPr>
        <w:t>-</w:t>
      </w:r>
      <w:r w:rsidRPr="00B76BE7">
        <w:rPr>
          <w:rFonts w:ascii="Tahoma" w:hAnsi="Tahoma" w:cs="Traditional Arabic"/>
          <w:sz w:val="18"/>
          <w:szCs w:val="18"/>
          <w:rtl/>
          <w:lang w:bidi="ar-EG"/>
        </w:rPr>
        <w:t>:</w:t>
      </w:r>
      <w:r w:rsidRPr="00B76BE7">
        <w:rPr>
          <w:rFonts w:ascii="Tahoma" w:hAnsi="Tahoma"/>
          <w:sz w:val="18"/>
          <w:szCs w:val="18"/>
          <w:rtl/>
        </w:rPr>
        <w:t xml:space="preserve"> ((يقال لآدم: أنت الذي خلقك الله بيده، ويقال لموسى: أنت الذي اصطفاك الله بكلامه، وكتب لك التوراة </w:t>
      </w:r>
      <w:r w:rsidRPr="00B76BE7">
        <w:rPr>
          <w:rFonts w:ascii="Tahoma" w:hAnsi="Tahoma"/>
          <w:spacing w:val="-4"/>
          <w:sz w:val="18"/>
          <w:szCs w:val="18"/>
          <w:rtl/>
        </w:rPr>
        <w:t>بيده))، ولا يحتمل المعنى هنا القدرة، وإلا لم يكن للتوراة اختصاص لما ذُكر، ولا كانت أفضلية لآدم على كل شيء مما خلق بالقدرة، كما تقدم في كلام أبي الحسن الأشعري عند الكلام على آية سورة ص، والقصة معروفة لدى طلاب العلم.</w:t>
      </w:r>
    </w:p>
    <w:p w:rsidR="00876B22" w:rsidRPr="00B76BE7" w:rsidRDefault="00876B22" w:rsidP="00B76BE7">
      <w:pPr>
        <w:pStyle w:val="NormalWeb"/>
        <w:bidi/>
        <w:spacing w:before="0" w:beforeAutospacing="0" w:after="0" w:afterAutospacing="0"/>
        <w:jc w:val="both"/>
        <w:rPr>
          <w:rFonts w:ascii="Tahoma" w:hAnsi="Tahoma"/>
          <w:sz w:val="18"/>
          <w:szCs w:val="18"/>
          <w:rtl/>
        </w:rPr>
      </w:pPr>
      <w:r w:rsidRPr="00B76BE7">
        <w:rPr>
          <w:rFonts w:ascii="Tahoma" w:hAnsi="Tahoma"/>
          <w:sz w:val="18"/>
          <w:szCs w:val="18"/>
          <w:rtl/>
        </w:rPr>
        <w:t xml:space="preserve">وخلاصة ما ذُكر فيما تقدم: أن هذه الصفة بها العطاء والأخذ والقول، وهي غير القدرة وغير النعمة، نقول ذلك استنادًا إلى قوله </w:t>
      </w:r>
      <w:r w:rsidRPr="00B76BE7">
        <w:rPr>
          <w:rFonts w:ascii="AGA Arabesque" w:hAnsi="AGA Arabesque" w:cs="Tahoma"/>
          <w:position w:val="-4"/>
          <w:sz w:val="18"/>
          <w:szCs w:val="18"/>
        </w:rPr>
        <w:t></w:t>
      </w:r>
      <w:r w:rsidRPr="00B76BE7">
        <w:rPr>
          <w:rFonts w:ascii="Tahoma" w:hAnsi="Tahoma"/>
          <w:sz w:val="18"/>
          <w:szCs w:val="18"/>
          <w:rtl/>
        </w:rPr>
        <w:t xml:space="preserve"> فيما رواه البخاري: ((يده ملأى لا يغيضها نفقة، سحاء الليل والنهار، أرأيت ما أنفق منذ خلق السماء والأرض؛ فإنه لم ينقص ما في يده، وكان عرشه على الماء، وبيده الميزان يخفض ويرفع)) انتهى، وقوله </w:t>
      </w:r>
      <w:r w:rsidRPr="00B76BE7">
        <w:rPr>
          <w:rFonts w:ascii="AGA Arabesque" w:hAnsi="AGA Arabesque" w:cs="Tahoma"/>
          <w:position w:val="-4"/>
          <w:sz w:val="18"/>
          <w:szCs w:val="18"/>
        </w:rPr>
        <w:t></w:t>
      </w:r>
      <w:r w:rsidRPr="00B76BE7">
        <w:rPr>
          <w:rFonts w:ascii="Tahoma" w:hAnsi="Tahoma"/>
          <w:sz w:val="18"/>
          <w:szCs w:val="18"/>
          <w:rtl/>
        </w:rPr>
        <w:t xml:space="preserve">: ((يقبض الله الأرض ويطوي السماء بيمينه، ثم يقول: أنا الملك أين ملوك الدنيا))، والحديث كقوله تعالى: </w:t>
      </w:r>
      <w:r w:rsidRPr="00B76BE7">
        <w:rPr>
          <w:rFonts w:ascii="Tahoma" w:hAnsi="Tahoma" w:cs="DecoType Thuluth"/>
          <w:sz w:val="18"/>
          <w:szCs w:val="18"/>
          <w:rtl/>
        </w:rPr>
        <w:t>{</w:t>
      </w:r>
      <w:r w:rsidRPr="00B76BE7">
        <w:rPr>
          <w:rFonts w:ascii="QCF_P465" w:hAnsi="QCF_P465" w:cs="QCF_P465"/>
          <w:sz w:val="18"/>
          <w:szCs w:val="18"/>
          <w:rtl/>
        </w:rPr>
        <w:t>ﯦ ﯧ ﯨ ﯩ ﯪ ﯫ ﯬ ﯭ ﯮ ﯯ ﯰ ﯱ ﯲ ﯳ ﯴ ﯵ ﯶ ﯷ</w:t>
      </w:r>
      <w:r w:rsidRPr="00B76BE7">
        <w:rPr>
          <w:rFonts w:ascii="QCF_P465" w:hAnsi="QCF_P465" w:cs="DecoType Thuluth"/>
          <w:sz w:val="18"/>
          <w:szCs w:val="18"/>
          <w:rtl/>
        </w:rPr>
        <w:t>}</w:t>
      </w:r>
      <w:r w:rsidRPr="00B76BE7">
        <w:rPr>
          <w:rFonts w:ascii="Tahoma" w:hAnsi="Tahoma"/>
          <w:sz w:val="18"/>
          <w:szCs w:val="18"/>
          <w:rtl/>
        </w:rPr>
        <w:t xml:space="preserve"> [الزمر: 67].</w:t>
      </w:r>
    </w:p>
    <w:p w:rsidR="00876B22" w:rsidRDefault="00876B22" w:rsidP="00B76BE7">
      <w:pPr>
        <w:jc w:val="center"/>
        <w:rPr>
          <w:b/>
          <w:bCs/>
          <w:sz w:val="18"/>
          <w:szCs w:val="18"/>
          <w:rtl/>
        </w:rPr>
      </w:pPr>
      <w:r>
        <w:rPr>
          <w:b/>
          <w:bCs/>
          <w:sz w:val="18"/>
          <w:szCs w:val="18"/>
        </w:rPr>
        <w:br w:type="column"/>
      </w:r>
      <w:r>
        <w:rPr>
          <w:b/>
          <w:bCs/>
          <w:sz w:val="18"/>
          <w:szCs w:val="18"/>
          <w:rtl/>
        </w:rPr>
        <w:lastRenderedPageBreak/>
        <w:t>المراجع والمصادر</w:t>
      </w:r>
    </w:p>
    <w:p w:rsidR="00876B22" w:rsidRDefault="00876B22" w:rsidP="00B76BE7">
      <w:pPr>
        <w:jc w:val="center"/>
        <w:rPr>
          <w:b/>
          <w:bCs/>
          <w:sz w:val="18"/>
          <w:szCs w:val="18"/>
          <w:rtl/>
        </w:rPr>
      </w:pPr>
    </w:p>
    <w:p w:rsidR="00876B22" w:rsidRPr="00785C26" w:rsidRDefault="00876B22" w:rsidP="00B76BE7">
      <w:pPr>
        <w:numPr>
          <w:ilvl w:val="0"/>
          <w:numId w:val="2"/>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876B22" w:rsidRPr="00785C26" w:rsidRDefault="00876B22" w:rsidP="00B76BE7">
      <w:pPr>
        <w:numPr>
          <w:ilvl w:val="0"/>
          <w:numId w:val="2"/>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876B22" w:rsidRPr="00785C26" w:rsidRDefault="00876B22" w:rsidP="00B76BE7">
      <w:pPr>
        <w:numPr>
          <w:ilvl w:val="0"/>
          <w:numId w:val="2"/>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lastRenderedPageBreak/>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876B22" w:rsidRPr="00785C26" w:rsidRDefault="00876B22" w:rsidP="00B76BE7">
      <w:pPr>
        <w:numPr>
          <w:ilvl w:val="0"/>
          <w:numId w:val="2"/>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876B22" w:rsidRDefault="00876B22" w:rsidP="00B76BE7">
      <w:pPr>
        <w:jc w:val="center"/>
        <w:rPr>
          <w:b/>
          <w:bCs/>
          <w:sz w:val="18"/>
          <w:szCs w:val="18"/>
          <w:rtl/>
          <w:lang w:bidi="ar-EG"/>
        </w:rPr>
        <w:sectPr w:rsidR="00876B22" w:rsidSect="00B76BE7">
          <w:type w:val="continuous"/>
          <w:pgSz w:w="11906" w:h="16838"/>
          <w:pgMar w:top="731" w:right="737" w:bottom="2432" w:left="737" w:header="709" w:footer="709" w:gutter="0"/>
          <w:cols w:num="2" w:space="710" w:equalWidth="0">
            <w:col w:w="4861" w:space="710"/>
            <w:col w:w="4861"/>
          </w:cols>
          <w:bidi/>
          <w:rtlGutter/>
          <w:docGrid w:linePitch="360"/>
        </w:sectPr>
      </w:pPr>
    </w:p>
    <w:p w:rsidR="00876B22" w:rsidRPr="00785C26" w:rsidRDefault="00876B22" w:rsidP="00B76BE7">
      <w:pPr>
        <w:jc w:val="center"/>
        <w:rPr>
          <w:b/>
          <w:bCs/>
          <w:sz w:val="18"/>
          <w:szCs w:val="18"/>
          <w:rtl/>
          <w:lang w:bidi="ar-EG"/>
        </w:rPr>
      </w:pPr>
    </w:p>
    <w:p w:rsidR="00876B22" w:rsidRPr="00B76BE7" w:rsidRDefault="00876B22" w:rsidP="00B76BE7">
      <w:pPr>
        <w:spacing w:before="60"/>
        <w:jc w:val="center"/>
        <w:rPr>
          <w:b/>
          <w:bCs/>
          <w:sz w:val="44"/>
          <w:szCs w:val="44"/>
          <w:lang w:bidi="ar-EG"/>
        </w:rPr>
      </w:pPr>
    </w:p>
    <w:sectPr w:rsidR="00876B22" w:rsidRPr="00B76BE7" w:rsidSect="00B76BE7">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457">
    <w:altName w:val="Times New Roman"/>
    <w:charset w:val="00"/>
    <w:family w:val="auto"/>
    <w:pitch w:val="variable"/>
    <w:sig w:usb0="00000000" w:usb1="90000000" w:usb2="00000008" w:usb3="00000000" w:csb0="80000041" w:csb1="00000000"/>
  </w:font>
  <w:font w:name="QCF_P118">
    <w:altName w:val="Times New Roman"/>
    <w:charset w:val="00"/>
    <w:family w:val="auto"/>
    <w:pitch w:val="variable"/>
    <w:sig w:usb0="00000000" w:usb1="90000000" w:usb2="00000008" w:usb3="00000000" w:csb0="80000041" w:csb1="00000000"/>
  </w:font>
  <w:font w:name="QCF_P269">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QCF_P522">
    <w:altName w:val="Times New Roman"/>
    <w:charset w:val="00"/>
    <w:family w:val="auto"/>
    <w:pitch w:val="variable"/>
    <w:sig w:usb0="00000000" w:usb1="90000000" w:usb2="00000008" w:usb3="00000000" w:csb0="80000041" w:csb1="00000000"/>
  </w:font>
  <w:font w:name="QCF_P053">
    <w:altName w:val="Times New Roman"/>
    <w:charset w:val="00"/>
    <w:family w:val="auto"/>
    <w:pitch w:val="variable"/>
    <w:sig w:usb0="00000000" w:usb1="90000000" w:usb2="00000008" w:usb3="00000000" w:csb0="80000041" w:csb1="00000000"/>
  </w:font>
  <w:font w:name="QCF_P445">
    <w:altName w:val="Times New Roman"/>
    <w:charset w:val="00"/>
    <w:family w:val="auto"/>
    <w:pitch w:val="variable"/>
    <w:sig w:usb0="00000000" w:usb1="90000000" w:usb2="00000008" w:usb3="00000000" w:csb0="80000041" w:csb1="00000000"/>
  </w:font>
  <w:font w:name="QCF_P333">
    <w:altName w:val="Times New Roman"/>
    <w:charset w:val="00"/>
    <w:family w:val="auto"/>
    <w:pitch w:val="variable"/>
    <w:sig w:usb0="00000000" w:usb1="90000000" w:usb2="00000008" w:usb3="00000000" w:csb0="80000041" w:csb1="00000000"/>
  </w:font>
  <w:font w:name="QCF_P486">
    <w:altName w:val="Times New Roman"/>
    <w:charset w:val="00"/>
    <w:family w:val="auto"/>
    <w:pitch w:val="variable"/>
    <w:sig w:usb0="00000000" w:usb1="90000000" w:usb2="00000008" w:usb3="00000000" w:csb0="80000041" w:csb1="00000000"/>
  </w:font>
  <w:font w:name="QCF_P46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0E741AB7"/>
    <w:multiLevelType w:val="hybridMultilevel"/>
    <w:tmpl w:val="3AEE17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7E25BD2"/>
    <w:multiLevelType w:val="hybridMultilevel"/>
    <w:tmpl w:val="4AB0C022"/>
    <w:lvl w:ilvl="0" w:tplc="4A725FA6">
      <w:start w:val="1"/>
      <w:numFmt w:val="bullet"/>
      <w:lvlText w:val=""/>
      <w:lvlJc w:val="center"/>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BE7"/>
    <w:rsid w:val="00113800"/>
    <w:rsid w:val="001A2769"/>
    <w:rsid w:val="003D3C5C"/>
    <w:rsid w:val="004168A0"/>
    <w:rsid w:val="004219C3"/>
    <w:rsid w:val="005146BC"/>
    <w:rsid w:val="0051562B"/>
    <w:rsid w:val="006B048B"/>
    <w:rsid w:val="00785C26"/>
    <w:rsid w:val="00876B22"/>
    <w:rsid w:val="00916DA5"/>
    <w:rsid w:val="00A1436C"/>
    <w:rsid w:val="00B76BE7"/>
    <w:rsid w:val="00BE1BAD"/>
    <w:rsid w:val="00E1160F"/>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E7"/>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6BE7"/>
    <w:pPr>
      <w:bidi w:val="0"/>
      <w:spacing w:before="100" w:beforeAutospacing="1" w:after="100" w:afterAutospacing="1"/>
    </w:pPr>
  </w:style>
  <w:style w:type="paragraph" w:customStyle="1" w:styleId="Affiliation">
    <w:name w:val="Affiliation"/>
    <w:uiPriority w:val="99"/>
    <w:rsid w:val="00B76BE7"/>
    <w:pPr>
      <w:suppressAutoHyphens/>
      <w:jc w:val="center"/>
    </w:pPr>
    <w:rPr>
      <w:rFonts w:ascii="Times New Roman" w:eastAsia="SimSun" w:hAnsi="Times New Roman" w:cs="Times New Roman"/>
      <w:lang w:eastAsia="zh-CN"/>
    </w:rPr>
  </w:style>
  <w:style w:type="paragraph" w:customStyle="1" w:styleId="Author">
    <w:name w:val="Author"/>
    <w:uiPriority w:val="99"/>
    <w:rsid w:val="00B76BE7"/>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B76BE7"/>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B76BE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man.abobak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996</Words>
  <Characters>5678</Characters>
  <Application>Microsoft Office Word</Application>
  <DocSecurity>0</DocSecurity>
  <Lines>47</Lines>
  <Paragraphs>13</Paragraphs>
  <ScaleCrop>false</ScaleCrop>
  <Company>Fannan</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2013-06-23T10:34:00Z</dcterms:created>
  <dcterms:modified xsi:type="dcterms:W3CDTF">2013-06-25T10:47:00Z</dcterms:modified>
</cp:coreProperties>
</file>