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E266DB" w:rsidP="00E266DB">
      <w:pPr>
        <w:spacing w:line="240" w:lineRule="auto"/>
        <w:jc w:val="center"/>
        <w:rPr>
          <w:i/>
          <w:iCs/>
          <w:rtl/>
        </w:rPr>
      </w:pPr>
      <w:r w:rsidRPr="00E266DB">
        <w:rPr>
          <w:rFonts w:asciiTheme="majorBidi" w:eastAsia="Calibri" w:hAnsiTheme="majorBidi" w:cstheme="majorBidi"/>
          <w:i/>
          <w:iCs/>
          <w:sz w:val="48"/>
          <w:szCs w:val="48"/>
          <w:rtl/>
        </w:rPr>
        <w:t>الطرق التي ساعدت العرب على حفظ تراثهم</w:t>
      </w:r>
    </w:p>
    <w:p w:rsidR="00E266DB" w:rsidRPr="00B11401" w:rsidRDefault="00E266DB" w:rsidP="00E266DB">
      <w:pPr>
        <w:spacing w:line="240" w:lineRule="auto"/>
        <w:jc w:val="center"/>
        <w:rPr>
          <w:i/>
          <w:iCs/>
          <w:sz w:val="28"/>
          <w:szCs w:val="28"/>
          <w:rtl/>
          <w:lang w:bidi="ar-EG"/>
        </w:rPr>
      </w:pPr>
      <w:r>
        <w:rPr>
          <w:rFonts w:hint="cs"/>
          <w:i/>
          <w:iCs/>
          <w:sz w:val="28"/>
          <w:szCs w:val="28"/>
          <w:rtl/>
          <w:lang w:bidi="ar-EG"/>
        </w:rPr>
        <w:t>بحث فى أصول البحث الادبى</w:t>
      </w:r>
    </w:p>
    <w:p w:rsidR="00E266DB" w:rsidRPr="00294A2D" w:rsidRDefault="00E266DB" w:rsidP="00A20E3C">
      <w:pPr>
        <w:spacing w:line="240" w:lineRule="auto"/>
        <w:jc w:val="center"/>
        <w:rPr>
          <w:rFonts w:asciiTheme="majorBidi" w:hAnsiTheme="majorBidi" w:cstheme="majorBidi"/>
          <w:lang w:bidi="ar-EG"/>
        </w:rPr>
      </w:pPr>
      <w:r w:rsidRPr="00294A2D">
        <w:rPr>
          <w:rFonts w:asciiTheme="majorBidi" w:hAnsiTheme="majorBidi" w:cstheme="majorBidi"/>
          <w:rtl/>
        </w:rPr>
        <w:t xml:space="preserve">إعداد أ/ </w:t>
      </w:r>
      <w:r w:rsidR="00A20E3C" w:rsidRPr="00A20E3C">
        <w:rPr>
          <w:rFonts w:asciiTheme="majorBidi" w:hAnsiTheme="majorBidi" w:cstheme="majorBidi"/>
          <w:rtl/>
          <w:lang w:bidi="ar-EG"/>
        </w:rPr>
        <w:t>أحمد عبد الحميد مهدي</w:t>
      </w:r>
    </w:p>
    <w:p w:rsidR="00E266DB" w:rsidRPr="00207A5C" w:rsidRDefault="00E266DB" w:rsidP="00E266DB">
      <w:pPr>
        <w:spacing w:line="240" w:lineRule="auto"/>
        <w:jc w:val="center"/>
        <w:rPr>
          <w:rFonts w:asciiTheme="majorBidi" w:hAnsiTheme="majorBidi" w:cstheme="majorBidi"/>
          <w:i/>
          <w:iCs/>
          <w:sz w:val="20"/>
          <w:szCs w:val="20"/>
          <w:rtl/>
        </w:rPr>
      </w:pPr>
      <w:r w:rsidRPr="00207A5C">
        <w:rPr>
          <w:rFonts w:asciiTheme="majorBidi" w:hAnsiTheme="majorBidi" w:cstheme="majorBidi"/>
          <w:i/>
          <w:iCs/>
          <w:sz w:val="20"/>
          <w:szCs w:val="20"/>
          <w:rtl/>
        </w:rPr>
        <w:t xml:space="preserve">قسم </w:t>
      </w:r>
      <w:r w:rsidRPr="00207A5C">
        <w:rPr>
          <w:rFonts w:asciiTheme="majorBidi" w:hAnsiTheme="majorBidi" w:cstheme="majorBidi" w:hint="cs"/>
          <w:i/>
          <w:iCs/>
          <w:sz w:val="20"/>
          <w:szCs w:val="20"/>
          <w:rtl/>
        </w:rPr>
        <w:t>الدراسات الأدبيه</w:t>
      </w:r>
    </w:p>
    <w:p w:rsidR="00E266DB" w:rsidRPr="0089766D" w:rsidRDefault="008763F5" w:rsidP="00E266DB">
      <w:pPr>
        <w:spacing w:line="240" w:lineRule="auto"/>
        <w:jc w:val="center"/>
        <w:rPr>
          <w:rFonts w:asciiTheme="majorBidi" w:hAnsiTheme="majorBidi" w:cstheme="majorBidi"/>
          <w:i/>
          <w:iCs/>
          <w:sz w:val="20"/>
          <w:szCs w:val="20"/>
        </w:rPr>
      </w:pPr>
      <w:r>
        <w:rPr>
          <w:rFonts w:asciiTheme="majorBidi" w:hAnsiTheme="majorBidi" w:cstheme="majorBidi"/>
          <w:i/>
          <w:iCs/>
          <w:sz w:val="20"/>
          <w:szCs w:val="20"/>
          <w:rtl/>
        </w:rPr>
        <w:t>كلية اللغات</w:t>
      </w:r>
      <w:r w:rsidR="00E266DB" w:rsidRPr="0089766D">
        <w:rPr>
          <w:rFonts w:asciiTheme="majorBidi" w:hAnsiTheme="majorBidi" w:cstheme="majorBidi"/>
          <w:i/>
          <w:iCs/>
          <w:sz w:val="20"/>
          <w:szCs w:val="20"/>
          <w:rtl/>
        </w:rPr>
        <w:t>– جامعة المدينة العالمية</w:t>
      </w:r>
    </w:p>
    <w:p w:rsidR="00E266DB" w:rsidRPr="0089766D" w:rsidRDefault="00E266DB" w:rsidP="00E266DB">
      <w:pPr>
        <w:spacing w:line="240" w:lineRule="auto"/>
        <w:jc w:val="center"/>
        <w:rPr>
          <w:rFonts w:asciiTheme="majorBidi" w:hAnsiTheme="majorBidi" w:cstheme="majorBidi"/>
          <w:i/>
          <w:iCs/>
          <w:sz w:val="20"/>
          <w:szCs w:val="20"/>
          <w:rtl/>
        </w:rPr>
      </w:pPr>
      <w:r w:rsidRPr="0089766D">
        <w:rPr>
          <w:rFonts w:asciiTheme="majorBidi" w:hAnsiTheme="majorBidi" w:cstheme="majorBidi"/>
          <w:i/>
          <w:iCs/>
          <w:sz w:val="20"/>
          <w:szCs w:val="20"/>
          <w:rtl/>
        </w:rPr>
        <w:t>شاه علم – ماليزيا</w:t>
      </w:r>
    </w:p>
    <w:p w:rsidR="00E266DB" w:rsidRPr="0089766D" w:rsidRDefault="00A20E3C" w:rsidP="00E266DB">
      <w:pPr>
        <w:spacing w:line="240" w:lineRule="auto"/>
        <w:jc w:val="center"/>
        <w:rPr>
          <w:rFonts w:asciiTheme="majorBidi" w:hAnsiTheme="majorBidi" w:cstheme="majorBidi"/>
          <w:i/>
          <w:iCs/>
          <w:sz w:val="20"/>
          <w:szCs w:val="20"/>
        </w:rPr>
      </w:pPr>
      <w:r w:rsidRPr="00A20E3C">
        <w:rPr>
          <w:rFonts w:asciiTheme="majorBidi" w:hAnsiTheme="majorBidi" w:cstheme="majorBidi"/>
          <w:i/>
          <w:iCs/>
          <w:sz w:val="20"/>
          <w:szCs w:val="20"/>
          <w:lang w:bidi="ar-EG"/>
        </w:rPr>
        <w:t>ahmed.mahdey@mediu.ws</w:t>
      </w:r>
    </w:p>
    <w:p w:rsidR="00D02129" w:rsidRDefault="00D02129" w:rsidP="00D02129">
      <w:pPr>
        <w:spacing w:after="120" w:line="240" w:lineRule="auto"/>
        <w:jc w:val="lowKashida"/>
        <w:rPr>
          <w:rFonts w:asciiTheme="majorBidi" w:hAnsiTheme="majorBidi" w:cstheme="majorBidi"/>
          <w:sz w:val="18"/>
          <w:szCs w:val="18"/>
          <w:rtl/>
        </w:rPr>
        <w:sectPr w:rsidR="00D02129" w:rsidSect="00BF7572">
          <w:pgSz w:w="11906" w:h="16838"/>
          <w:pgMar w:top="964" w:right="1021" w:bottom="964" w:left="1021" w:header="709" w:footer="709" w:gutter="0"/>
          <w:cols w:space="708"/>
          <w:bidi/>
          <w:rtlGutter/>
          <w:docGrid w:linePitch="360"/>
        </w:sectPr>
      </w:pPr>
    </w:p>
    <w:p w:rsidR="00E266DB" w:rsidRPr="00D02129" w:rsidRDefault="00E266DB" w:rsidP="00D02129">
      <w:pPr>
        <w:spacing w:after="120" w:line="240" w:lineRule="auto"/>
        <w:jc w:val="lowKashida"/>
        <w:rPr>
          <w:rFonts w:asciiTheme="majorBidi" w:hAnsiTheme="majorBidi" w:cstheme="majorBidi"/>
          <w:b/>
          <w:bCs/>
          <w:sz w:val="18"/>
          <w:szCs w:val="18"/>
          <w:rtl/>
        </w:rPr>
      </w:pPr>
      <w:r w:rsidRPr="00D02129">
        <w:rPr>
          <w:rFonts w:asciiTheme="majorBidi" w:hAnsiTheme="majorBidi" w:cstheme="majorBidi"/>
          <w:b/>
          <w:bCs/>
          <w:sz w:val="18"/>
          <w:szCs w:val="18"/>
          <w:rtl/>
        </w:rPr>
        <w:lastRenderedPageBreak/>
        <w:t xml:space="preserve">خلاصة ـــ هذا البحث يبحث في </w:t>
      </w:r>
      <w:r w:rsidRPr="00D02129">
        <w:rPr>
          <w:rFonts w:asciiTheme="majorBidi" w:eastAsia="Calibri" w:hAnsiTheme="majorBidi" w:cstheme="majorBidi"/>
          <w:b/>
          <w:bCs/>
          <w:sz w:val="18"/>
          <w:szCs w:val="18"/>
          <w:rtl/>
        </w:rPr>
        <w:t>الطرق التي ساعدت العرب على حفظ تراثهم</w:t>
      </w:r>
    </w:p>
    <w:p w:rsidR="00E266DB" w:rsidRPr="00D02129" w:rsidRDefault="00E266DB" w:rsidP="00D02129">
      <w:pPr>
        <w:spacing w:after="120" w:line="240" w:lineRule="auto"/>
        <w:jc w:val="lowKashida"/>
        <w:rPr>
          <w:rFonts w:asciiTheme="majorBidi" w:hAnsiTheme="majorBidi" w:cstheme="majorBidi"/>
          <w:b/>
          <w:bCs/>
          <w:sz w:val="18"/>
          <w:szCs w:val="18"/>
          <w:rtl/>
        </w:rPr>
      </w:pPr>
      <w:r w:rsidRPr="00D02129">
        <w:rPr>
          <w:rFonts w:asciiTheme="majorBidi" w:hAnsiTheme="majorBidi" w:cstheme="majorBidi"/>
          <w:b/>
          <w:bCs/>
          <w:sz w:val="18"/>
          <w:szCs w:val="18"/>
          <w:rtl/>
        </w:rPr>
        <w:t xml:space="preserve">الكلمات المفتاحية : العرب ، عناية الأمم ، </w:t>
      </w:r>
      <w:r w:rsidR="00D02129" w:rsidRPr="00D02129">
        <w:rPr>
          <w:rFonts w:asciiTheme="majorBidi" w:hAnsiTheme="majorBidi" w:cstheme="majorBidi"/>
          <w:b/>
          <w:bCs/>
          <w:sz w:val="18"/>
          <w:szCs w:val="18"/>
          <w:rtl/>
        </w:rPr>
        <w:t>التراث العربي</w:t>
      </w:r>
    </w:p>
    <w:p w:rsidR="00D02129" w:rsidRPr="00D02129" w:rsidRDefault="00D02129" w:rsidP="00D02129">
      <w:pPr>
        <w:pStyle w:val="a5"/>
        <w:numPr>
          <w:ilvl w:val="0"/>
          <w:numId w:val="2"/>
        </w:numPr>
        <w:spacing w:after="120" w:line="240" w:lineRule="auto"/>
        <w:jc w:val="center"/>
        <w:rPr>
          <w:rFonts w:asciiTheme="majorBidi" w:hAnsiTheme="majorBidi" w:cstheme="majorBidi"/>
          <w:b/>
          <w:bCs/>
          <w:sz w:val="18"/>
          <w:szCs w:val="18"/>
          <w:rtl/>
        </w:rPr>
      </w:pPr>
      <w:r w:rsidRPr="00D02129">
        <w:rPr>
          <w:rFonts w:asciiTheme="majorBidi" w:hAnsiTheme="majorBidi" w:cstheme="majorBidi"/>
          <w:b/>
          <w:bCs/>
          <w:sz w:val="18"/>
          <w:szCs w:val="18"/>
          <w:rtl/>
        </w:rPr>
        <w:t>المقدمة</w:t>
      </w:r>
    </w:p>
    <w:p w:rsidR="00D02129" w:rsidRPr="00D02129" w:rsidRDefault="00D02129" w:rsidP="00D02129">
      <w:pPr>
        <w:pStyle w:val="a3"/>
        <w:bidi/>
        <w:spacing w:before="0" w:beforeAutospacing="0" w:after="120" w:afterAutospacing="0"/>
        <w:jc w:val="lowKashida"/>
        <w:rPr>
          <w:rFonts w:asciiTheme="majorBidi" w:hAnsiTheme="majorBidi" w:cstheme="majorBidi"/>
          <w:b/>
          <w:bCs/>
          <w:sz w:val="18"/>
          <w:szCs w:val="18"/>
          <w:rtl/>
        </w:rPr>
      </w:pPr>
      <w:r w:rsidRPr="00D02129">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D02129">
        <w:rPr>
          <w:rFonts w:asciiTheme="majorBidi" w:eastAsia="Calibri" w:hAnsiTheme="majorBidi" w:cstheme="majorBidi"/>
          <w:b/>
          <w:bCs/>
          <w:sz w:val="18"/>
          <w:szCs w:val="18"/>
          <w:rtl/>
        </w:rPr>
        <w:t>الطرق التي ساعدت العرب على حفظ تراثهم</w:t>
      </w:r>
    </w:p>
    <w:p w:rsidR="00D02129" w:rsidRPr="00D02129" w:rsidRDefault="00D02129" w:rsidP="00D02129">
      <w:pPr>
        <w:pStyle w:val="a3"/>
        <w:numPr>
          <w:ilvl w:val="0"/>
          <w:numId w:val="2"/>
        </w:numPr>
        <w:bidi/>
        <w:spacing w:before="0" w:beforeAutospacing="0" w:after="120" w:afterAutospacing="0"/>
        <w:jc w:val="center"/>
        <w:rPr>
          <w:rFonts w:asciiTheme="majorBidi" w:hAnsiTheme="majorBidi" w:cstheme="majorBidi"/>
          <w:b/>
          <w:bCs/>
          <w:sz w:val="18"/>
          <w:szCs w:val="18"/>
          <w:rtl/>
        </w:rPr>
      </w:pPr>
      <w:r w:rsidRPr="00D02129">
        <w:rPr>
          <w:rFonts w:asciiTheme="majorBidi" w:hAnsiTheme="majorBidi" w:cstheme="majorBidi"/>
          <w:b/>
          <w:bCs/>
          <w:sz w:val="18"/>
          <w:szCs w:val="18"/>
          <w:rtl/>
        </w:rPr>
        <w:t>عنوان المقال</w:t>
      </w:r>
    </w:p>
    <w:p w:rsidR="00D02129" w:rsidRPr="00D02129" w:rsidRDefault="00D02129" w:rsidP="00D02129">
      <w:pPr>
        <w:pStyle w:val="a3"/>
        <w:bidi/>
        <w:spacing w:before="0" w:beforeAutospacing="0" w:after="120" w:afterAutospacing="0"/>
        <w:jc w:val="lowKashida"/>
        <w:rPr>
          <w:rFonts w:asciiTheme="majorBidi" w:hAnsiTheme="majorBidi" w:cstheme="majorBidi"/>
          <w:b/>
          <w:bCs/>
          <w:sz w:val="18"/>
          <w:szCs w:val="18"/>
        </w:rPr>
      </w:pPr>
      <w:r w:rsidRPr="00D02129">
        <w:rPr>
          <w:rFonts w:asciiTheme="majorBidi" w:hAnsiTheme="majorBidi" w:cstheme="majorBidi"/>
          <w:b/>
          <w:bCs/>
          <w:sz w:val="18"/>
          <w:szCs w:val="18"/>
          <w:rtl/>
        </w:rPr>
        <w:t xml:space="preserve">كيف استطاع العرب أن يحافظوا على تراثهم، وينتقل هذا التراث من جيل إلى جيل حتى وصل إلينا الآن؟ </w:t>
      </w:r>
    </w:p>
    <w:p w:rsidR="00D02129" w:rsidRPr="00D02129" w:rsidRDefault="00D02129" w:rsidP="00D02129">
      <w:pPr>
        <w:pStyle w:val="a3"/>
        <w:bidi/>
        <w:spacing w:before="0" w:beforeAutospacing="0" w:after="120" w:afterAutospacing="0"/>
        <w:jc w:val="lowKashida"/>
        <w:rPr>
          <w:rFonts w:asciiTheme="majorBidi" w:hAnsiTheme="majorBidi" w:cstheme="majorBidi"/>
          <w:b/>
          <w:bCs/>
          <w:sz w:val="18"/>
          <w:szCs w:val="18"/>
        </w:rPr>
      </w:pPr>
      <w:r w:rsidRPr="00D02129">
        <w:rPr>
          <w:rFonts w:asciiTheme="majorBidi" w:hAnsiTheme="majorBidi" w:cstheme="majorBidi"/>
          <w:b/>
          <w:bCs/>
          <w:sz w:val="18"/>
          <w:szCs w:val="18"/>
          <w:rtl/>
        </w:rPr>
        <w:t xml:space="preserve">بمقدار ما للتراث من قيمة وأهمية تكون عناية الأمم به، والعمل على صيانته وحفظه من الضياع، والتراث العربي روح الأمة وشريان حياتها النابض، ومن ثم أولته جل عنايتها، وسعت للحفاظ عليه بكل ما لديها من وسائل أو طرق، تتناسب مع حياتهم في كل عصر. </w:t>
      </w:r>
    </w:p>
    <w:p w:rsidR="00D02129" w:rsidRPr="00D02129" w:rsidRDefault="00D02129" w:rsidP="00D02129">
      <w:pPr>
        <w:pStyle w:val="a3"/>
        <w:bidi/>
        <w:spacing w:before="0" w:beforeAutospacing="0" w:after="120" w:afterAutospacing="0"/>
        <w:jc w:val="lowKashida"/>
        <w:rPr>
          <w:rFonts w:asciiTheme="majorBidi" w:hAnsiTheme="majorBidi" w:cstheme="majorBidi"/>
          <w:b/>
          <w:bCs/>
          <w:sz w:val="18"/>
          <w:szCs w:val="18"/>
          <w:rtl/>
        </w:rPr>
      </w:pPr>
      <w:r w:rsidRPr="00D02129">
        <w:rPr>
          <w:rFonts w:asciiTheme="majorBidi" w:hAnsiTheme="majorBidi" w:cstheme="majorBidi"/>
          <w:b/>
          <w:bCs/>
          <w:sz w:val="18"/>
          <w:szCs w:val="18"/>
          <w:rtl/>
        </w:rPr>
        <w:t xml:space="preserve">ومن أهم الطرق التي استعان بها العرب في حفظ تراثهم: </w:t>
      </w:r>
    </w:p>
    <w:p w:rsidR="00D02129" w:rsidRPr="00D02129" w:rsidRDefault="00D02129" w:rsidP="00D02129">
      <w:pPr>
        <w:pStyle w:val="a3"/>
        <w:bidi/>
        <w:spacing w:before="0" w:beforeAutospacing="0" w:after="120" w:afterAutospacing="0"/>
        <w:jc w:val="lowKashida"/>
        <w:rPr>
          <w:rFonts w:asciiTheme="majorBidi" w:hAnsiTheme="majorBidi" w:cstheme="majorBidi"/>
          <w:b/>
          <w:bCs/>
          <w:sz w:val="18"/>
          <w:szCs w:val="18"/>
        </w:rPr>
      </w:pPr>
      <w:r w:rsidRPr="00D02129">
        <w:rPr>
          <w:rFonts w:asciiTheme="majorBidi" w:hAnsiTheme="majorBidi" w:cstheme="majorBidi"/>
          <w:b/>
          <w:bCs/>
          <w:color w:val="000080"/>
          <w:sz w:val="18"/>
          <w:szCs w:val="18"/>
          <w:rtl/>
        </w:rPr>
        <w:t>الوسيلة الأولى: الرواية الشفوية:</w:t>
      </w:r>
      <w:r w:rsidRPr="00D02129">
        <w:rPr>
          <w:rFonts w:asciiTheme="majorBidi" w:hAnsiTheme="majorBidi" w:cstheme="majorBidi"/>
          <w:b/>
          <w:bCs/>
          <w:sz w:val="18"/>
          <w:szCs w:val="18"/>
          <w:rtl/>
        </w:rPr>
        <w:t xml:space="preserve"> ويقصد بالرواية الشفوية السماع والحفظ، ثم الاستظهار والنقل، وتعد الرواية الشفوية أول وسيلة من وسائل حفظ التراث الأدبي لدى العرب، وخاصة الشعر، بالإضافة إلى حفظ الأنساب والأخبار، وتسجيل الوقائع التي كان الرواة يحرصون على تلقينها لمن يصغرهم، أو لأبنائهم، أو لمن يقوم بهذه المهمة في الأعصر التالية.</w:t>
      </w:r>
    </w:p>
    <w:p w:rsidR="00D02129" w:rsidRPr="00D02129" w:rsidRDefault="00D02129" w:rsidP="00D02129">
      <w:pPr>
        <w:pStyle w:val="a3"/>
        <w:bidi/>
        <w:spacing w:before="0" w:beforeAutospacing="0" w:after="120" w:afterAutospacing="0"/>
        <w:jc w:val="lowKashida"/>
        <w:rPr>
          <w:rFonts w:asciiTheme="majorBidi" w:hAnsiTheme="majorBidi" w:cstheme="majorBidi"/>
          <w:b/>
          <w:bCs/>
          <w:sz w:val="18"/>
          <w:szCs w:val="18"/>
        </w:rPr>
      </w:pPr>
      <w:r w:rsidRPr="00D02129">
        <w:rPr>
          <w:rFonts w:asciiTheme="majorBidi" w:hAnsiTheme="majorBidi" w:cstheme="majorBidi"/>
          <w:b/>
          <w:bCs/>
          <w:sz w:val="18"/>
          <w:szCs w:val="18"/>
          <w:rtl/>
        </w:rPr>
        <w:t xml:space="preserve">وقد فرضت البيئة الجاهلية على العرب استخدام الرواية كوسيلة لحفظ تراثهم ونشره، بمعنى أن العرب في العصر الجاهلي -خاصة- لم يكن لديهم من الوسائل المتاحة  غير وسيلة الرواية الشفوية، صحيح الكتابة كانت موجودة لكنها نادرة، ومن الصعب الحصول على أدواتها التي يستعان بها في الكتابة، كان ذلك صعبًا، وكان الله </w:t>
      </w:r>
      <w:r w:rsidRPr="00D02129">
        <w:rPr>
          <w:rFonts w:asciiTheme="majorBidi" w:hAnsiTheme="majorBidi" w:cstheme="majorBidi"/>
          <w:b/>
          <w:bCs/>
          <w:position w:val="-4"/>
          <w:sz w:val="18"/>
          <w:szCs w:val="18"/>
        </w:rPr>
        <w:t></w:t>
      </w:r>
      <w:r w:rsidRPr="00D02129">
        <w:rPr>
          <w:rFonts w:asciiTheme="majorBidi" w:hAnsiTheme="majorBidi" w:cstheme="majorBidi"/>
          <w:b/>
          <w:bCs/>
          <w:sz w:val="18"/>
          <w:szCs w:val="18"/>
          <w:rtl/>
        </w:rPr>
        <w:t xml:space="preserve"> قد منح العربي قدرة على الحفظ، هذه طبيعة العربي وتلك عاملا مساعدًا، كون الله </w:t>
      </w:r>
      <w:r w:rsidRPr="00D02129">
        <w:rPr>
          <w:rFonts w:asciiTheme="majorBidi" w:hAnsiTheme="majorBidi" w:cstheme="majorBidi"/>
          <w:b/>
          <w:bCs/>
          <w:position w:val="-4"/>
          <w:sz w:val="18"/>
          <w:szCs w:val="18"/>
        </w:rPr>
        <w:t></w:t>
      </w:r>
      <w:r w:rsidRPr="00D02129">
        <w:rPr>
          <w:rFonts w:asciiTheme="majorBidi" w:hAnsiTheme="majorBidi" w:cstheme="majorBidi"/>
          <w:b/>
          <w:bCs/>
          <w:sz w:val="18"/>
          <w:szCs w:val="18"/>
          <w:rtl/>
        </w:rPr>
        <w:t xml:space="preserve"> ميز الأعرابي بهذه الذاكرة القوية، وذلك القدر من الذكاء وصفاء الذهن، مكن العربي من الاستعاضة عن الكتابة بهذا القدر من الحفظ والاستذكار والنقل.</w:t>
      </w:r>
    </w:p>
    <w:p w:rsidR="00D02129" w:rsidRPr="00D02129" w:rsidRDefault="00D02129" w:rsidP="00D02129">
      <w:pPr>
        <w:pStyle w:val="a3"/>
        <w:bidi/>
        <w:spacing w:before="0" w:beforeAutospacing="0" w:after="120" w:afterAutospacing="0"/>
        <w:jc w:val="lowKashida"/>
        <w:rPr>
          <w:rFonts w:asciiTheme="majorBidi" w:hAnsiTheme="majorBidi" w:cstheme="majorBidi"/>
          <w:b/>
          <w:bCs/>
          <w:sz w:val="18"/>
          <w:szCs w:val="18"/>
        </w:rPr>
      </w:pPr>
      <w:r w:rsidRPr="00D02129">
        <w:rPr>
          <w:rFonts w:asciiTheme="majorBidi" w:hAnsiTheme="majorBidi" w:cstheme="majorBidi"/>
          <w:b/>
          <w:bCs/>
          <w:sz w:val="18"/>
          <w:szCs w:val="18"/>
          <w:rtl/>
        </w:rPr>
        <w:t>والعرب كانوا يحرصون على ذلك حرصًا شديدًا، فيقول  ابن رشيق القيرواني في كتاب (العمدة): "كانت القبيلة من العرب إذا نبغ فيها شاعر أتت القبائل فهنأتها، وصنعت الأطعمة، واجتمع النساء يلعبن بالمزاهر كما يصنعون في الأعراس، ويتباشر الرجال والولدان؛ لأنه حماية لأعراضهم، وذب عن أحسابهم، وتخليد لمآثرهم، وإشادة بذكرهم، وكانوا لا يهنئون إلا بغلام يولد، أو شاعر ينبغ فيهم، أو فرس تنتج". إن دل ذلك على شيء، فإنما يدل على عناية العرب بهذا التراث الأدبي؛ لأنه يسجل أحسابهم وأنسابهم ومفاخرهم، ومآثرهم ومثالب أعدائهم. وكان الرواة في الجاهلية طبقات:</w:t>
      </w:r>
    </w:p>
    <w:p w:rsidR="00D02129" w:rsidRPr="00D02129" w:rsidRDefault="00D02129" w:rsidP="00D02129">
      <w:pPr>
        <w:pStyle w:val="a3"/>
        <w:bidi/>
        <w:spacing w:before="0" w:beforeAutospacing="0" w:after="120" w:afterAutospacing="0"/>
        <w:jc w:val="lowKashida"/>
        <w:rPr>
          <w:rFonts w:asciiTheme="majorBidi" w:hAnsiTheme="majorBidi" w:cstheme="majorBidi"/>
          <w:b/>
          <w:bCs/>
          <w:sz w:val="18"/>
          <w:szCs w:val="18"/>
        </w:rPr>
      </w:pPr>
      <w:r w:rsidRPr="00D02129">
        <w:rPr>
          <w:rFonts w:asciiTheme="majorBidi" w:hAnsiTheme="majorBidi" w:cstheme="majorBidi"/>
          <w:b/>
          <w:bCs/>
          <w:color w:val="000080"/>
          <w:sz w:val="18"/>
          <w:szCs w:val="18"/>
          <w:rtl/>
        </w:rPr>
        <w:t>الطبقة الأولى:</w:t>
      </w:r>
      <w:r w:rsidRPr="00D02129">
        <w:rPr>
          <w:rFonts w:asciiTheme="majorBidi" w:hAnsiTheme="majorBidi" w:cstheme="majorBidi"/>
          <w:b/>
          <w:bCs/>
          <w:sz w:val="18"/>
          <w:szCs w:val="18"/>
          <w:rtl/>
        </w:rPr>
        <w:t xml:space="preserve"> وهم الشعراء،  ومنهم الشعراء المحترفون الذين تجمع بينهم حرفة الفن الشعري، يعني يمتلكون الموهبة الشعرية، وهي التي تجمع بينهم. فكان هؤلاء الشعراء المحترفون يلزمون شاعرًا بعينه أو غيره من الشعراء، ويروون عنهم حتى ينفتق لسانهم ويسيل عليه ينبوع الشعر، يعني يتعلمون كيفية النظم واختيار الكلمات والأوزان والقوافي من خلال الحفظ.</w:t>
      </w:r>
    </w:p>
    <w:p w:rsidR="00D02129" w:rsidRPr="00D02129" w:rsidRDefault="00D02129" w:rsidP="00D02129">
      <w:pPr>
        <w:pStyle w:val="a3"/>
        <w:bidi/>
        <w:spacing w:before="0" w:beforeAutospacing="0" w:after="120" w:afterAutospacing="0"/>
        <w:jc w:val="lowKashida"/>
        <w:rPr>
          <w:rFonts w:asciiTheme="majorBidi" w:hAnsiTheme="majorBidi" w:cstheme="majorBidi"/>
          <w:b/>
          <w:bCs/>
          <w:sz w:val="18"/>
          <w:szCs w:val="18"/>
          <w:lang w:bidi="ar-EG"/>
        </w:rPr>
      </w:pPr>
      <w:r w:rsidRPr="00D02129">
        <w:rPr>
          <w:rFonts w:asciiTheme="majorBidi" w:hAnsiTheme="majorBidi" w:cstheme="majorBidi"/>
          <w:b/>
          <w:bCs/>
          <w:sz w:val="18"/>
          <w:szCs w:val="18"/>
          <w:rtl/>
        </w:rPr>
        <w:t xml:space="preserve">ويمثل هؤلاء الشعراء المحترفون: أوس بن حجر التميمي، وزهير بن أبي سلمى، والحطيئة، وهدبة بن خشرم، وغيرهم كثير من الشعراء في ذلك العصر، ومن هذه الطبقة أيضًا -طبقة الشعراء المحترفين- شعراء لكنهم ليسوا محترفين، جمع بينهم النسب، يعني ينتمون إلى قبيلة واحدة، يروي خلفهم شعر سلفهم، حتى يظل شعر القبيلة محفوظًا لديهم؛ لأنه -كما أشار ابن رشيق- يحمل مفاخرهم وأخبارهم وأحسابهم وأنسابهم، ويخلد مآثرهم، فكانوا يروون الشعر لخلفهم جيلا بعد جيل، ويمثل هؤلاء الشعراء: الأعشى، الذي كان يروي شعر خاله المسيب بن عَلَس، </w:t>
      </w:r>
      <w:r w:rsidRPr="00D02129">
        <w:rPr>
          <w:rFonts w:asciiTheme="majorBidi" w:hAnsiTheme="majorBidi" w:cstheme="majorBidi"/>
          <w:b/>
          <w:bCs/>
          <w:sz w:val="18"/>
          <w:szCs w:val="18"/>
          <w:rtl/>
        </w:rPr>
        <w:lastRenderedPageBreak/>
        <w:t>وأبو ذؤيب الهذلي الذي كان راوية لساعدة بن جؤية الهذلي، وطرفة بن العبد الذي كان يروي للمرقش الأصغر عمه وخاله المتلمس.</w:t>
      </w:r>
    </w:p>
    <w:p w:rsidR="00D02129" w:rsidRPr="00D02129" w:rsidRDefault="00D02129" w:rsidP="00D02129">
      <w:pPr>
        <w:pStyle w:val="a3"/>
        <w:bidi/>
        <w:spacing w:before="0" w:beforeAutospacing="0" w:after="120" w:afterAutospacing="0"/>
        <w:jc w:val="lowKashida"/>
        <w:rPr>
          <w:rFonts w:asciiTheme="majorBidi" w:hAnsiTheme="majorBidi" w:cstheme="majorBidi"/>
          <w:b/>
          <w:bCs/>
          <w:spacing w:val="-4"/>
          <w:sz w:val="18"/>
          <w:szCs w:val="18"/>
        </w:rPr>
      </w:pPr>
      <w:r w:rsidRPr="00D02129">
        <w:rPr>
          <w:rFonts w:asciiTheme="majorBidi" w:hAnsiTheme="majorBidi" w:cstheme="majorBidi"/>
          <w:b/>
          <w:bCs/>
          <w:spacing w:val="-4"/>
          <w:sz w:val="18"/>
          <w:szCs w:val="18"/>
          <w:rtl/>
        </w:rPr>
        <w:t>ومن هذه الطبقة الأولى -أي طبقة الشعراء- شعراء لم يجمع بينهم نسب، ولم تجمع بينهم حرفة الفن الشعري، وإنما جمع بينهم سلوك معين في الحياة، فكان يروي بعضهم عن بعض، كالشعراء الصعاليك مثلا، حيث كان يأخذ بعضهم عن بعض، كما نلاحظ عند تأبَّطَ شرا والشنفرى، وأبي دؤاد الإيادي، وزيد الخيل.</w:t>
      </w:r>
    </w:p>
    <w:p w:rsidR="00D02129" w:rsidRPr="00D02129" w:rsidRDefault="00D02129" w:rsidP="00D02129">
      <w:pPr>
        <w:pStyle w:val="a3"/>
        <w:bidi/>
        <w:spacing w:before="0" w:beforeAutospacing="0" w:after="120" w:afterAutospacing="0"/>
        <w:jc w:val="lowKashida"/>
        <w:rPr>
          <w:rFonts w:asciiTheme="majorBidi" w:hAnsiTheme="majorBidi" w:cstheme="majorBidi"/>
          <w:b/>
          <w:bCs/>
          <w:sz w:val="18"/>
          <w:szCs w:val="18"/>
          <w:lang w:bidi="ar-EG"/>
        </w:rPr>
      </w:pPr>
      <w:r w:rsidRPr="00D02129">
        <w:rPr>
          <w:rFonts w:asciiTheme="majorBidi" w:hAnsiTheme="majorBidi" w:cstheme="majorBidi"/>
          <w:b/>
          <w:bCs/>
          <w:color w:val="000080"/>
          <w:sz w:val="18"/>
          <w:szCs w:val="18"/>
          <w:rtl/>
        </w:rPr>
        <w:t>الطبقة الثانية</w:t>
      </w:r>
      <w:r w:rsidRPr="00D02129">
        <w:rPr>
          <w:rFonts w:asciiTheme="majorBidi" w:hAnsiTheme="majorBidi" w:cstheme="majorBidi"/>
          <w:b/>
          <w:bCs/>
          <w:sz w:val="18"/>
          <w:szCs w:val="18"/>
          <w:rtl/>
        </w:rPr>
        <w:t xml:space="preserve"> من طبقات الرواة الذين قاموا بدور كبير في حفظ ذلك التراث الأدبي: هم أفراد القبيلة أنفسهم، أفراد كل قبيلة كانوا يحرصون على حفظ  أشعار الشعراء، الذين ينتمون إلى هذه القبيلة وروايتها؛ لأنها تسجل مناقب قومهم، وانتصاراتهم في حروبهم، كما تسجل مثالب أعدائهم، فكان  أفراد القبيلة جميعًا -شعراء وغير شعراء-  يحفظون هذه الأشعار، وتنتقل من جيل إلى جيل عبر الأجيال المختلفة.</w:t>
      </w:r>
    </w:p>
    <w:p w:rsidR="00D02129" w:rsidRPr="00D02129" w:rsidRDefault="00D02129" w:rsidP="00D02129">
      <w:pPr>
        <w:pStyle w:val="a3"/>
        <w:bidi/>
        <w:spacing w:before="0" w:beforeAutospacing="0" w:after="120" w:afterAutospacing="0"/>
        <w:jc w:val="lowKashida"/>
        <w:rPr>
          <w:rFonts w:asciiTheme="majorBidi" w:hAnsiTheme="majorBidi" w:cstheme="majorBidi"/>
          <w:b/>
          <w:bCs/>
          <w:sz w:val="18"/>
          <w:szCs w:val="18"/>
          <w:lang w:bidi="ar-EG"/>
        </w:rPr>
      </w:pPr>
      <w:r w:rsidRPr="00D02129">
        <w:rPr>
          <w:rFonts w:asciiTheme="majorBidi" w:hAnsiTheme="majorBidi" w:cstheme="majorBidi"/>
          <w:b/>
          <w:bCs/>
          <w:color w:val="000080"/>
          <w:sz w:val="18"/>
          <w:szCs w:val="18"/>
          <w:rtl/>
        </w:rPr>
        <w:t>الطبقة الثالثة:</w:t>
      </w:r>
      <w:r w:rsidRPr="00D02129">
        <w:rPr>
          <w:rFonts w:asciiTheme="majorBidi" w:hAnsiTheme="majorBidi" w:cstheme="majorBidi"/>
          <w:b/>
          <w:bCs/>
          <w:sz w:val="18"/>
          <w:szCs w:val="18"/>
          <w:rtl/>
        </w:rPr>
        <w:t xml:space="preserve"> ويمكن تسميتها: طبقة الحفظة، وهم الذين كانوا يرتادون المحافل والأسواق، وينشدون الأشعار التي يروونها عن جميع الشعراء، لا يلزمون شاعرا بعينه  ولا قبيلة بعينها، وإنما كانوا يحفظون عن كل الشعراء، ويؤثرون الأشعار التي تسجل المآثر والمثالب، والأحساب والأنساب والأيام والأخبار، وكان هذا شاغلهم ولم يكن لهم شاغل سواه، وهم الذين قال عمر بن الخطاب فيهم: "كان الشعر علم قوم لم يكن لهم علم أصح منه"، فكانوا يحرصون -هذه الطبقة من الرواة-  على إذاعة هذه الأشعار، ونقلها من بيئة إلى بيئة ومن قبيلة إلى قبيلة، ومن بلد إلى بلد، فذاعت وانتشرت، وتنوقلت على الألسن،  وحفظتها الذاكرة عبر الأجيال المختلفة.</w:t>
      </w:r>
    </w:p>
    <w:p w:rsidR="00D02129" w:rsidRPr="00D02129" w:rsidRDefault="00D02129" w:rsidP="00D02129">
      <w:pPr>
        <w:pStyle w:val="a3"/>
        <w:bidi/>
        <w:spacing w:before="0" w:beforeAutospacing="0" w:after="120" w:afterAutospacing="0"/>
        <w:jc w:val="lowKashida"/>
        <w:rPr>
          <w:rFonts w:asciiTheme="majorBidi" w:hAnsiTheme="majorBidi" w:cstheme="majorBidi"/>
          <w:b/>
          <w:bCs/>
          <w:sz w:val="18"/>
          <w:szCs w:val="18"/>
          <w:lang w:bidi="ar-EG"/>
        </w:rPr>
      </w:pPr>
      <w:r w:rsidRPr="00D02129">
        <w:rPr>
          <w:rFonts w:asciiTheme="majorBidi" w:hAnsiTheme="majorBidi" w:cstheme="majorBidi"/>
          <w:b/>
          <w:bCs/>
          <w:sz w:val="18"/>
          <w:szCs w:val="18"/>
          <w:rtl/>
        </w:rPr>
        <w:t xml:space="preserve">هذا بالنسبة للعصر الجاهلي، وظلت هي الأداة المستخدمة كما رأينا في حفظ الأشعار، </w:t>
      </w:r>
      <w:r w:rsidRPr="00D02129">
        <w:rPr>
          <w:rFonts w:asciiTheme="majorBidi" w:hAnsiTheme="majorBidi" w:cstheme="majorBidi"/>
          <w:b/>
          <w:bCs/>
          <w:spacing w:val="-4"/>
          <w:sz w:val="18"/>
          <w:szCs w:val="18"/>
          <w:rtl/>
        </w:rPr>
        <w:t xml:space="preserve">أو التراث الأدبي عمومًا، ثم ظهر الإسلام، وبعد ظهوره استمرت رواية الشعر، وأجاز النبي </w:t>
      </w:r>
      <w:r w:rsidRPr="00D02129">
        <w:rPr>
          <w:rFonts w:asciiTheme="majorBidi" w:hAnsiTheme="majorBidi" w:cstheme="majorBidi"/>
          <w:b/>
          <w:bCs/>
          <w:spacing w:val="-4"/>
          <w:position w:val="-4"/>
          <w:sz w:val="18"/>
          <w:szCs w:val="18"/>
        </w:rPr>
        <w:t></w:t>
      </w:r>
      <w:r w:rsidRPr="00D02129">
        <w:rPr>
          <w:rFonts w:asciiTheme="majorBidi" w:hAnsiTheme="majorBidi" w:cstheme="majorBidi"/>
          <w:b/>
          <w:bCs/>
          <w:spacing w:val="-4"/>
          <w:sz w:val="18"/>
          <w:szCs w:val="18"/>
          <w:rtl/>
        </w:rPr>
        <w:t xml:space="preserve"> ذلك، وكان كثيرا ما يستنشد الصحابة شعرًا</w:t>
      </w:r>
      <w:r w:rsidRPr="00D02129">
        <w:rPr>
          <w:rFonts w:asciiTheme="majorBidi" w:hAnsiTheme="majorBidi" w:cstheme="majorBidi"/>
          <w:b/>
          <w:bCs/>
          <w:spacing w:val="-4"/>
          <w:position w:val="-4"/>
          <w:sz w:val="18"/>
          <w:szCs w:val="18"/>
          <w:rtl/>
        </w:rPr>
        <w:t xml:space="preserve"> }</w:t>
      </w:r>
      <w:r w:rsidRPr="00D02129">
        <w:rPr>
          <w:rFonts w:asciiTheme="majorBidi" w:hAnsiTheme="majorBidi" w:cstheme="majorBidi"/>
          <w:b/>
          <w:bCs/>
          <w:sz w:val="18"/>
          <w:szCs w:val="18"/>
          <w:rtl/>
        </w:rPr>
        <w:t xml:space="preserve">، كما شجع عليه صحابةُ رسول الله </w:t>
      </w:r>
      <w:r w:rsidRPr="00D02129">
        <w:rPr>
          <w:rFonts w:asciiTheme="majorBidi" w:hAnsiTheme="majorBidi" w:cstheme="majorBidi"/>
          <w:b/>
          <w:bCs/>
          <w:position w:val="-4"/>
          <w:sz w:val="18"/>
          <w:szCs w:val="18"/>
        </w:rPr>
        <w:t></w:t>
      </w:r>
      <w:r w:rsidRPr="00D02129">
        <w:rPr>
          <w:rFonts w:asciiTheme="majorBidi" w:hAnsiTheme="majorBidi" w:cstheme="majorBidi"/>
          <w:b/>
          <w:bCs/>
          <w:sz w:val="18"/>
          <w:szCs w:val="18"/>
          <w:rtl/>
        </w:rPr>
        <w:t xml:space="preserve">، فكان أبو بكر النسابة </w:t>
      </w:r>
      <w:r w:rsidRPr="00D02129">
        <w:rPr>
          <w:rFonts w:asciiTheme="majorBidi" w:hAnsiTheme="majorBidi" w:cstheme="majorBidi"/>
          <w:b/>
          <w:bCs/>
          <w:position w:val="-4"/>
          <w:sz w:val="18"/>
          <w:szCs w:val="18"/>
          <w:rtl/>
        </w:rPr>
        <w:t>&gt;</w:t>
      </w:r>
      <w:r w:rsidRPr="00D02129">
        <w:rPr>
          <w:rFonts w:asciiTheme="majorBidi" w:hAnsiTheme="majorBidi" w:cstheme="majorBidi"/>
          <w:b/>
          <w:bCs/>
          <w:sz w:val="18"/>
          <w:szCs w:val="18"/>
          <w:rtl/>
        </w:rPr>
        <w:t xml:space="preserve"> وكان راوية للشعر، وكذلك كان عمر بن الخطاب </w:t>
      </w:r>
      <w:r w:rsidRPr="00D02129">
        <w:rPr>
          <w:rFonts w:asciiTheme="majorBidi" w:hAnsiTheme="majorBidi" w:cstheme="majorBidi"/>
          <w:b/>
          <w:bCs/>
          <w:position w:val="-4"/>
          <w:sz w:val="18"/>
          <w:szCs w:val="18"/>
          <w:rtl/>
        </w:rPr>
        <w:t>&gt;</w:t>
      </w:r>
      <w:r w:rsidRPr="00D02129">
        <w:rPr>
          <w:rFonts w:asciiTheme="majorBidi" w:hAnsiTheme="majorBidi" w:cstheme="majorBidi"/>
          <w:b/>
          <w:bCs/>
          <w:sz w:val="18"/>
          <w:szCs w:val="18"/>
          <w:rtl/>
        </w:rPr>
        <w:t xml:space="preserve">، ثم زادت الحاجة إلى الرواية بعد إنشاء الدواوين في عهد عمر بن الخطاب </w:t>
      </w:r>
      <w:r w:rsidRPr="00D02129">
        <w:rPr>
          <w:rFonts w:asciiTheme="majorBidi" w:hAnsiTheme="majorBidi" w:cstheme="majorBidi"/>
          <w:b/>
          <w:bCs/>
          <w:position w:val="-4"/>
          <w:sz w:val="18"/>
          <w:szCs w:val="18"/>
          <w:rtl/>
        </w:rPr>
        <w:t>&gt;</w:t>
      </w:r>
      <w:r w:rsidRPr="00D02129">
        <w:rPr>
          <w:rFonts w:asciiTheme="majorBidi" w:hAnsiTheme="majorBidi" w:cstheme="majorBidi"/>
          <w:b/>
          <w:bCs/>
          <w:sz w:val="18"/>
          <w:szCs w:val="18"/>
          <w:rtl/>
        </w:rPr>
        <w:t>؛ إذ كانوا يرجعون إلى الرواة لمعرفة الأنساب؛ لأنها كانت تقوم بدور مهم في رواتب الجند الفاتحين، وفي مراكز القبائل بالمدن الجديدة مثل: البصرة والكوفة، ولم تعد الرواية قاصرة على الشعر فقط في عصر صدر الإسلام، وإنما اتسعت لتشمل القرآن الكريم، والحديث النبوي الشريف، معنى ذلك أن الرواية كانت تمثل أداة مهمة في حفظ التراث الأدبي في عصر صدر الإسلام، بالإضافة إلى حفظ القرآن الكريم، والسنة النبوية الشريفة.</w:t>
      </w:r>
    </w:p>
    <w:p w:rsidR="00D02129" w:rsidRPr="00D02129" w:rsidRDefault="00D02129" w:rsidP="00D02129">
      <w:pPr>
        <w:pStyle w:val="a3"/>
        <w:bidi/>
        <w:spacing w:before="0" w:beforeAutospacing="0" w:after="120" w:afterAutospacing="0"/>
        <w:jc w:val="lowKashida"/>
        <w:rPr>
          <w:rFonts w:asciiTheme="majorBidi" w:hAnsiTheme="majorBidi" w:cstheme="majorBidi"/>
          <w:b/>
          <w:bCs/>
          <w:sz w:val="18"/>
          <w:szCs w:val="18"/>
          <w:lang w:bidi="ar-EG"/>
        </w:rPr>
      </w:pPr>
      <w:r w:rsidRPr="00D02129">
        <w:rPr>
          <w:rFonts w:asciiTheme="majorBidi" w:hAnsiTheme="majorBidi" w:cstheme="majorBidi"/>
          <w:b/>
          <w:bCs/>
          <w:sz w:val="18"/>
          <w:szCs w:val="18"/>
          <w:rtl/>
        </w:rPr>
        <w:t>وظل الحال على ذلك طوال عصر صدر الإسلام، ثم قامت الدولة الأموية، وكانت نزعتها عربية خالصة، فعملت جاهدة على حفظ هذا التراث، واستخدمت الرواية وسيلة لهذا الحفظ، واهتم خلفاء بني أمية بذلك اهتمامًا لا حد له، كما فعل معاوية وعبد الملك بن مروان وغيرهما من الخلفاء، إذ كانوا كثيرًا ما يسألون وفود القبائل التي تفد عليهم عن بعض شعرائها، وكانوا إذا اختلفوا في بيت من الشعر أبردوا بريدًا إلى العراق، يعني أرسلوا بريدا إلى العراق يسألون علماءها عن صحة ذلك البيت، وإن دل ذلك فإنما  يدل على شدة حرصهم ودقة روايتهم، كما اهتموا بتأديب أبنائهم من خلال مؤدبين  يروونهم أشعار الجاهلية وأيامها وأخبارها.</w:t>
      </w:r>
    </w:p>
    <w:p w:rsidR="00D02129" w:rsidRPr="00D02129" w:rsidRDefault="00D02129" w:rsidP="00D02129">
      <w:pPr>
        <w:pStyle w:val="a3"/>
        <w:bidi/>
        <w:spacing w:before="0" w:beforeAutospacing="0" w:after="120" w:afterAutospacing="0"/>
        <w:jc w:val="lowKashida"/>
        <w:rPr>
          <w:rFonts w:asciiTheme="majorBidi" w:hAnsiTheme="majorBidi" w:cstheme="majorBidi"/>
          <w:b/>
          <w:bCs/>
          <w:sz w:val="18"/>
          <w:szCs w:val="18"/>
          <w:rtl/>
        </w:rPr>
      </w:pPr>
      <w:r w:rsidRPr="00D02129">
        <w:rPr>
          <w:rFonts w:asciiTheme="majorBidi" w:hAnsiTheme="majorBidi" w:cstheme="majorBidi"/>
          <w:b/>
          <w:bCs/>
          <w:sz w:val="18"/>
          <w:szCs w:val="18"/>
          <w:rtl/>
        </w:rPr>
        <w:t xml:space="preserve">ومما ساعد على ازدهار الرواية في ذلك العصر أيضًا: ظهور طائفة القصاص، الذين كانوا يجلسون للعظة في المساجد الجامعة، وكانوا كثيرا ما يروون الأشعار وينثرونها للإفادة بما فيها في وعظهم، كما ظهرت جماعة في ذلك العصر أيضًا عنيت بغزوات الرسول </w:t>
      </w:r>
      <w:r w:rsidRPr="00D02129">
        <w:rPr>
          <w:rFonts w:asciiTheme="majorBidi" w:hAnsiTheme="majorBidi" w:cstheme="majorBidi"/>
          <w:b/>
          <w:bCs/>
          <w:position w:val="-4"/>
          <w:sz w:val="18"/>
          <w:szCs w:val="18"/>
        </w:rPr>
        <w:t></w:t>
      </w:r>
      <w:r w:rsidRPr="00D02129">
        <w:rPr>
          <w:rFonts w:asciiTheme="majorBidi" w:hAnsiTheme="majorBidi" w:cstheme="majorBidi"/>
          <w:b/>
          <w:bCs/>
          <w:sz w:val="18"/>
          <w:szCs w:val="18"/>
          <w:rtl/>
        </w:rPr>
        <w:t xml:space="preserve"> وما قيل فيها من أشعار، ومن هؤلاء: أبان بن عثمان بن عفان وعروة بن الزبير، وهناك جماعة أخرى اهتمت بأخبار العرب الماضين، وما كان يجري على ألسنة شعرائهم، كل هؤلاء كانوا يستخدمون الرواية  في حفظ هذا التراث وفي نقله إلى غيرهم، كما ظهرت طائفة أخرى من الرواة لم يكونوا يحسنون نظم الشعر، فهم لا يروونه لغرض تعلمه، وإنما يروونه لنشره بين الناس، وهؤلاء يشير إليهم جرير بقوله:</w:t>
      </w:r>
    </w:p>
    <w:tbl>
      <w:tblPr>
        <w:tblStyle w:val="a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94"/>
        <w:gridCol w:w="568"/>
        <w:gridCol w:w="2132"/>
      </w:tblGrid>
      <w:tr w:rsidR="00D02129" w:rsidRPr="00D02129" w:rsidTr="0094183B">
        <w:trPr>
          <w:trHeight w:hRule="exact" w:val="510"/>
          <w:jc w:val="center"/>
        </w:trPr>
        <w:tc>
          <w:tcPr>
            <w:tcW w:w="2909" w:type="dxa"/>
            <w:shd w:val="clear" w:color="auto" w:fill="auto"/>
            <w:vAlign w:val="center"/>
          </w:tcPr>
          <w:p w:rsidR="00D02129" w:rsidRPr="00D02129" w:rsidRDefault="00D02129" w:rsidP="00D02129">
            <w:pPr>
              <w:spacing w:after="120"/>
              <w:jc w:val="both"/>
              <w:rPr>
                <w:rFonts w:asciiTheme="majorBidi" w:hAnsiTheme="majorBidi" w:cstheme="majorBidi"/>
                <w:b/>
                <w:bCs/>
                <w:sz w:val="18"/>
                <w:szCs w:val="18"/>
                <w:rtl/>
              </w:rPr>
            </w:pPr>
            <w:r w:rsidRPr="00D02129">
              <w:rPr>
                <w:rFonts w:asciiTheme="majorBidi" w:hAnsiTheme="majorBidi" w:cstheme="majorBidi"/>
                <w:b/>
                <w:bCs/>
                <w:sz w:val="18"/>
                <w:szCs w:val="18"/>
                <w:rtl/>
              </w:rPr>
              <w:lastRenderedPageBreak/>
              <w:t>خروج بأفواه الرواة كأنها</w:t>
            </w:r>
            <w:r w:rsidRPr="00D02129">
              <w:rPr>
                <w:rFonts w:asciiTheme="majorBidi" w:hAnsiTheme="majorBidi" w:cstheme="majorBidi"/>
                <w:b/>
                <w:bCs/>
                <w:sz w:val="18"/>
                <w:szCs w:val="18"/>
                <w:rtl/>
              </w:rPr>
              <w:br/>
            </w:r>
          </w:p>
          <w:p w:rsidR="00D02129" w:rsidRPr="00D02129" w:rsidRDefault="00D02129" w:rsidP="00D02129">
            <w:pPr>
              <w:spacing w:after="120"/>
              <w:jc w:val="both"/>
              <w:rPr>
                <w:rFonts w:asciiTheme="majorBidi" w:hAnsiTheme="majorBidi" w:cstheme="majorBidi"/>
                <w:b/>
                <w:bCs/>
                <w:sz w:val="18"/>
                <w:szCs w:val="18"/>
                <w:rtl/>
              </w:rPr>
            </w:pPr>
          </w:p>
        </w:tc>
        <w:tc>
          <w:tcPr>
            <w:tcW w:w="709" w:type="dxa"/>
            <w:shd w:val="clear" w:color="auto" w:fill="auto"/>
            <w:vAlign w:val="center"/>
          </w:tcPr>
          <w:p w:rsidR="00D02129" w:rsidRPr="00D02129" w:rsidRDefault="00D02129" w:rsidP="00D02129">
            <w:pPr>
              <w:spacing w:after="120"/>
              <w:jc w:val="center"/>
              <w:rPr>
                <w:rFonts w:asciiTheme="majorBidi" w:hAnsiTheme="majorBidi" w:cstheme="majorBidi"/>
                <w:b/>
                <w:bCs/>
                <w:sz w:val="18"/>
                <w:szCs w:val="18"/>
                <w:rtl/>
              </w:rPr>
            </w:pPr>
            <w:r w:rsidRPr="00D02129">
              <w:rPr>
                <w:rFonts w:asciiTheme="majorBidi" w:hAnsiTheme="majorBidi" w:cstheme="majorBidi"/>
                <w:b/>
                <w:bCs/>
                <w:sz w:val="18"/>
                <w:szCs w:val="18"/>
                <w:rtl/>
              </w:rPr>
              <w:t>*</w:t>
            </w:r>
          </w:p>
        </w:tc>
        <w:tc>
          <w:tcPr>
            <w:tcW w:w="2909" w:type="dxa"/>
            <w:shd w:val="clear" w:color="auto" w:fill="auto"/>
            <w:vAlign w:val="center"/>
          </w:tcPr>
          <w:p w:rsidR="00D02129" w:rsidRPr="00D02129" w:rsidRDefault="00D02129" w:rsidP="00D02129">
            <w:pPr>
              <w:spacing w:after="120"/>
              <w:jc w:val="both"/>
              <w:rPr>
                <w:rFonts w:asciiTheme="majorBidi" w:hAnsiTheme="majorBidi" w:cstheme="majorBidi"/>
                <w:b/>
                <w:bCs/>
                <w:sz w:val="18"/>
                <w:szCs w:val="18"/>
                <w:rtl/>
              </w:rPr>
            </w:pPr>
            <w:r w:rsidRPr="00D02129">
              <w:rPr>
                <w:rFonts w:asciiTheme="majorBidi" w:hAnsiTheme="majorBidi" w:cstheme="majorBidi"/>
                <w:b/>
                <w:bCs/>
                <w:sz w:val="18"/>
                <w:szCs w:val="18"/>
                <w:rtl/>
              </w:rPr>
              <w:t>قَرَى هندواني إذا هُز صَمما</w:t>
            </w:r>
            <w:r w:rsidRPr="00D02129">
              <w:rPr>
                <w:rFonts w:asciiTheme="majorBidi" w:hAnsiTheme="majorBidi" w:cstheme="majorBidi"/>
                <w:b/>
                <w:bCs/>
                <w:sz w:val="18"/>
                <w:szCs w:val="18"/>
                <w:rtl/>
              </w:rPr>
              <w:br/>
            </w:r>
          </w:p>
          <w:p w:rsidR="00D02129" w:rsidRPr="00D02129" w:rsidRDefault="00D02129" w:rsidP="00D02129">
            <w:pPr>
              <w:spacing w:after="120"/>
              <w:jc w:val="both"/>
              <w:rPr>
                <w:rFonts w:asciiTheme="majorBidi" w:hAnsiTheme="majorBidi" w:cstheme="majorBidi"/>
                <w:b/>
                <w:bCs/>
                <w:sz w:val="18"/>
                <w:szCs w:val="18"/>
                <w:rtl/>
              </w:rPr>
            </w:pPr>
          </w:p>
        </w:tc>
      </w:tr>
    </w:tbl>
    <w:p w:rsidR="00D02129" w:rsidRPr="00D02129" w:rsidRDefault="00D02129" w:rsidP="00D02129">
      <w:pPr>
        <w:pStyle w:val="a3"/>
        <w:bidi/>
        <w:spacing w:before="0" w:beforeAutospacing="0" w:after="120" w:afterAutospacing="0"/>
        <w:jc w:val="lowKashida"/>
        <w:rPr>
          <w:rFonts w:asciiTheme="majorBidi" w:hAnsiTheme="majorBidi" w:cstheme="majorBidi"/>
          <w:b/>
          <w:bCs/>
          <w:sz w:val="18"/>
          <w:szCs w:val="18"/>
        </w:rPr>
      </w:pPr>
      <w:r w:rsidRPr="00D02129">
        <w:rPr>
          <w:rFonts w:asciiTheme="majorBidi" w:hAnsiTheme="majorBidi" w:cstheme="majorBidi"/>
          <w:b/>
          <w:bCs/>
          <w:sz w:val="18"/>
          <w:szCs w:val="18"/>
          <w:rtl/>
        </w:rPr>
        <w:t>هذه هي وظيفتهم، يحفظون أشعار الشعراء، ويروونها وينشرونها بين الناس، هذا ديدنهم، كان ذلك في عصر بني أمية، وكما رأينا اتسع مجال الرواية،  واتسع أصناف الرواة وتعددت غاياتهم المختلفة، وكلهم يعتمد على الرواية، أي الحفظ والنقل والاستظهار.</w:t>
      </w:r>
    </w:p>
    <w:p w:rsidR="00D02129" w:rsidRPr="00D02129" w:rsidRDefault="00D02129" w:rsidP="00D02129">
      <w:pPr>
        <w:pStyle w:val="a3"/>
        <w:bidi/>
        <w:spacing w:before="0" w:beforeAutospacing="0" w:after="120" w:afterAutospacing="0"/>
        <w:jc w:val="lowKashida"/>
        <w:rPr>
          <w:rFonts w:asciiTheme="majorBidi" w:hAnsiTheme="majorBidi" w:cstheme="majorBidi"/>
          <w:b/>
          <w:bCs/>
          <w:sz w:val="18"/>
          <w:szCs w:val="18"/>
        </w:rPr>
      </w:pPr>
      <w:r w:rsidRPr="00D02129">
        <w:rPr>
          <w:rFonts w:asciiTheme="majorBidi" w:hAnsiTheme="majorBidi" w:cstheme="majorBidi"/>
          <w:b/>
          <w:bCs/>
          <w:sz w:val="18"/>
          <w:szCs w:val="18"/>
          <w:rtl/>
        </w:rPr>
        <w:t>ثم جاء العصر العباسي، ونشأت طبقة من الرواة المحترفين، الذين يتخذون رواية الشعر عملًا أساسيًا لهم، فيهم عرب وفيهم موال، فيهم قراء للقرآن، وغير قراء، وهم جميعا حضريون، يعني كانوا يعيشون في البصرة والكوفة، وكانوا يضيفون إلى رواية الأشعار كثيرا من الأخبار عن الجاهلية وأيامها، ومن هؤلاء الرواة: أبو عمرو بن العلاء، وحماد الراوية، وخلف الأحمر، ومحمد بن السائب الكلبي، والمفضل الضبي، وكانوا يرحلون إلى القبائل والأعراب في البادية وإلى نجد أحيانًا؛ ليأخذوا الأشعار والأخبار من ينابيعها الصحيحة، هذا في بداية العصر العباسي.</w:t>
      </w:r>
    </w:p>
    <w:p w:rsidR="00D02129" w:rsidRPr="00D02129" w:rsidRDefault="00D02129" w:rsidP="00D02129">
      <w:pPr>
        <w:pStyle w:val="a3"/>
        <w:bidi/>
        <w:spacing w:before="0" w:beforeAutospacing="0" w:after="120" w:afterAutospacing="0"/>
        <w:jc w:val="lowKashida"/>
        <w:rPr>
          <w:rFonts w:asciiTheme="majorBidi" w:hAnsiTheme="majorBidi" w:cstheme="majorBidi"/>
          <w:b/>
          <w:bCs/>
          <w:sz w:val="18"/>
          <w:szCs w:val="18"/>
        </w:rPr>
      </w:pPr>
      <w:r w:rsidRPr="00D02129">
        <w:rPr>
          <w:rFonts w:asciiTheme="majorBidi" w:hAnsiTheme="majorBidi" w:cstheme="majorBidi"/>
          <w:b/>
          <w:bCs/>
          <w:sz w:val="18"/>
          <w:szCs w:val="18"/>
          <w:rtl/>
        </w:rPr>
        <w:t>ولا نكاد نمضي في ذلك العصر حتى يكون هؤلاء الرواة مدرستين متقابلين: مدرسة البصرة ومدرسة الكوفة، واستطاع رواة هاتين المدرستين جمع مادة كثيرة من الأشعار والأخبار وأيام العرب،  اعتمد عليها المدونون فيما بعد.</w:t>
      </w:r>
    </w:p>
    <w:p w:rsidR="00D02129" w:rsidRPr="00D02129" w:rsidRDefault="00D02129" w:rsidP="00D02129">
      <w:pPr>
        <w:pStyle w:val="a3"/>
        <w:bidi/>
        <w:spacing w:before="0" w:beforeAutospacing="0" w:after="120" w:afterAutospacing="0"/>
        <w:jc w:val="lowKashida"/>
        <w:rPr>
          <w:rFonts w:asciiTheme="majorBidi" w:hAnsiTheme="majorBidi" w:cstheme="majorBidi"/>
          <w:b/>
          <w:bCs/>
          <w:sz w:val="18"/>
          <w:szCs w:val="18"/>
        </w:rPr>
      </w:pPr>
      <w:r w:rsidRPr="00D02129">
        <w:rPr>
          <w:rFonts w:asciiTheme="majorBidi" w:hAnsiTheme="majorBidi" w:cstheme="majorBidi"/>
          <w:b/>
          <w:bCs/>
          <w:sz w:val="18"/>
          <w:szCs w:val="18"/>
          <w:rtl/>
        </w:rPr>
        <w:t>أخذوا هذه الأشعار والأخبار من ينابيعها الصحيحة، هكذا قامت الرواية الشفوية بدور كبير في حفظ التراث الأدبي للعرب، منذ العصر الجاهلي وحتى سنوات عدة من بداية العصر العباسي، وهذه الرواية الشفوية تمثل وسيلة مهمة في حفظ ذلك التراث، وهي الوسيلة الأولى.</w:t>
      </w:r>
    </w:p>
    <w:p w:rsidR="00D02129" w:rsidRPr="00D02129" w:rsidRDefault="00D02129" w:rsidP="00D02129">
      <w:pPr>
        <w:pStyle w:val="a3"/>
        <w:bidi/>
        <w:spacing w:before="0" w:beforeAutospacing="0" w:after="120" w:afterAutospacing="0"/>
        <w:jc w:val="lowKashida"/>
        <w:rPr>
          <w:rFonts w:asciiTheme="majorBidi" w:hAnsiTheme="majorBidi" w:cstheme="majorBidi"/>
          <w:b/>
          <w:bCs/>
          <w:spacing w:val="-4"/>
          <w:sz w:val="18"/>
          <w:szCs w:val="18"/>
        </w:rPr>
      </w:pPr>
      <w:r w:rsidRPr="00D02129">
        <w:rPr>
          <w:rFonts w:asciiTheme="majorBidi" w:hAnsiTheme="majorBidi" w:cstheme="majorBidi"/>
          <w:b/>
          <w:bCs/>
          <w:color w:val="000080"/>
          <w:spacing w:val="-4"/>
          <w:sz w:val="18"/>
          <w:szCs w:val="18"/>
          <w:rtl/>
        </w:rPr>
        <w:t>الوسيلة الثانية :</w:t>
      </w:r>
      <w:r w:rsidRPr="00D02129">
        <w:rPr>
          <w:rFonts w:asciiTheme="majorBidi" w:hAnsiTheme="majorBidi" w:cstheme="majorBidi"/>
          <w:b/>
          <w:bCs/>
          <w:spacing w:val="-4"/>
          <w:sz w:val="18"/>
          <w:szCs w:val="18"/>
          <w:rtl/>
        </w:rPr>
        <w:t xml:space="preserve"> من وسائل حفظ التراث عند العرب هي التدوين،  بمعنى الكتابة، أي  تسجيل ذلك التراث، بمعنى نقله من الذاكرة إلى كلام مكتوب مدون. </w:t>
      </w:r>
    </w:p>
    <w:p w:rsidR="00D02129" w:rsidRPr="00D02129" w:rsidRDefault="00D02129" w:rsidP="00D02129">
      <w:pPr>
        <w:pStyle w:val="a3"/>
        <w:bidi/>
        <w:spacing w:before="0" w:beforeAutospacing="0" w:after="120" w:afterAutospacing="0"/>
        <w:jc w:val="lowKashida"/>
        <w:rPr>
          <w:rFonts w:asciiTheme="majorBidi" w:hAnsiTheme="majorBidi" w:cstheme="majorBidi"/>
          <w:b/>
          <w:bCs/>
          <w:sz w:val="18"/>
          <w:szCs w:val="18"/>
        </w:rPr>
      </w:pPr>
      <w:r w:rsidRPr="00D02129">
        <w:rPr>
          <w:rFonts w:asciiTheme="majorBidi" w:hAnsiTheme="majorBidi" w:cstheme="majorBidi"/>
          <w:b/>
          <w:bCs/>
          <w:sz w:val="18"/>
          <w:szCs w:val="18"/>
          <w:rtl/>
        </w:rPr>
        <w:t xml:space="preserve">بدأ التدوين الفعلي للنصوص في فترة مبكرة من حياة العرب، ففي عهد أبي بكر الصديق </w:t>
      </w:r>
      <w:r w:rsidRPr="00D02129">
        <w:rPr>
          <w:rFonts w:asciiTheme="majorBidi" w:hAnsiTheme="majorBidi" w:cstheme="majorBidi"/>
          <w:b/>
          <w:bCs/>
          <w:position w:val="-4"/>
          <w:sz w:val="18"/>
          <w:szCs w:val="18"/>
          <w:rtl/>
        </w:rPr>
        <w:t>&gt;</w:t>
      </w:r>
      <w:r w:rsidRPr="00D02129">
        <w:rPr>
          <w:rFonts w:asciiTheme="majorBidi" w:hAnsiTheme="majorBidi" w:cstheme="majorBidi"/>
          <w:b/>
          <w:bCs/>
          <w:sz w:val="18"/>
          <w:szCs w:val="18"/>
          <w:rtl/>
        </w:rPr>
        <w:t xml:space="preserve"> جمع القرآن الكريم ودون في كتاب واحد، بعد أن كان مفرقًا في صدور الحفظة، وفي النصف الثاني من القرن الأول الهجري عرف العرب بدايات التدوين، حيث يطالعنا عدد كبير من الرواة العلماء والأدباء من العرب والموالي على حد سواء، يعيشون في الحضر، وهم على دراية كاملة ومعرفة واسعة بالبادية، يرحلون إليها ويلتقون بأهلها أو يلقونهم في الحواضر والأسواق؛ ليجمعوا ما لديهم من أشعار وأخبار، ثم يقومون بتدوينها، ويعملون على حفظها مدونة أي: مكتوبة، ودرسها وشرحها لتلاميذهم وإذاعتها على الناس.</w:t>
      </w:r>
    </w:p>
    <w:p w:rsidR="00D02129" w:rsidRPr="00D02129" w:rsidRDefault="00D02129" w:rsidP="00D02129">
      <w:pPr>
        <w:pStyle w:val="a3"/>
        <w:bidi/>
        <w:spacing w:before="0" w:beforeAutospacing="0" w:after="120" w:afterAutospacing="0"/>
        <w:jc w:val="lowKashida"/>
        <w:rPr>
          <w:rFonts w:asciiTheme="majorBidi" w:hAnsiTheme="majorBidi" w:cstheme="majorBidi"/>
          <w:b/>
          <w:bCs/>
          <w:sz w:val="18"/>
          <w:szCs w:val="18"/>
        </w:rPr>
      </w:pPr>
      <w:r w:rsidRPr="00D02129">
        <w:rPr>
          <w:rFonts w:asciiTheme="majorBidi" w:hAnsiTheme="majorBidi" w:cstheme="majorBidi"/>
          <w:b/>
          <w:bCs/>
          <w:sz w:val="18"/>
          <w:szCs w:val="18"/>
          <w:rtl/>
        </w:rPr>
        <w:t xml:space="preserve">وما إن استكملت الحياة الثقافية في كل من مدينتي البصرة والكوفة، حتى اشتد التنافس بين علماء ورواة المدرستين في سبيل جمع وتدوين التراث العربي القديم، بدءوا يرحلون إلى البوادي، لكن ليس من أجل الحفظ فحسب، وإنما من أجل الحفظ للتدوين، وبخاصة حفظ الأشعار والشعر الجاهلي. </w:t>
      </w:r>
    </w:p>
    <w:p w:rsidR="00D02129" w:rsidRPr="00D02129" w:rsidRDefault="00D02129" w:rsidP="00D02129">
      <w:pPr>
        <w:pStyle w:val="a3"/>
        <w:bidi/>
        <w:spacing w:before="0" w:beforeAutospacing="0" w:after="120" w:afterAutospacing="0"/>
        <w:jc w:val="lowKashida"/>
        <w:rPr>
          <w:rFonts w:asciiTheme="majorBidi" w:hAnsiTheme="majorBidi" w:cstheme="majorBidi"/>
          <w:b/>
          <w:bCs/>
          <w:sz w:val="18"/>
          <w:szCs w:val="18"/>
          <w:lang w:bidi="ar-EG"/>
        </w:rPr>
      </w:pPr>
      <w:r w:rsidRPr="00D02129">
        <w:rPr>
          <w:rFonts w:asciiTheme="majorBidi" w:hAnsiTheme="majorBidi" w:cstheme="majorBidi"/>
          <w:b/>
          <w:bCs/>
          <w:sz w:val="18"/>
          <w:szCs w:val="18"/>
          <w:rtl/>
        </w:rPr>
        <w:t>ومن علماء مدرسة البصرة الذين كان ذلك هدفهم: الأصمعي، الذي نقل الكثير عن فصحاء الأعراب الذين كانوا يفدون إلى البصرة،  كما أكثر الخروج إلى البادية وشافه أهلها ونقل عنهم،  ودون ما تجمع لديه، وله مجموعة شعرية منتقاة من الشعر الجاهلي سميت باسمه (الأصمعيات).</w:t>
      </w:r>
    </w:p>
    <w:p w:rsidR="00D02129" w:rsidRPr="00D02129" w:rsidRDefault="00D02129" w:rsidP="00D02129">
      <w:pPr>
        <w:pStyle w:val="a3"/>
        <w:bidi/>
        <w:spacing w:before="0" w:beforeAutospacing="0" w:after="120" w:afterAutospacing="0"/>
        <w:jc w:val="lowKashida"/>
        <w:rPr>
          <w:rFonts w:asciiTheme="majorBidi" w:hAnsiTheme="majorBidi" w:cstheme="majorBidi"/>
          <w:b/>
          <w:bCs/>
          <w:sz w:val="18"/>
          <w:szCs w:val="18"/>
          <w:lang w:bidi="ar-EG"/>
        </w:rPr>
      </w:pPr>
      <w:r w:rsidRPr="00D02129">
        <w:rPr>
          <w:rFonts w:asciiTheme="majorBidi" w:hAnsiTheme="majorBidi" w:cstheme="majorBidi"/>
          <w:b/>
          <w:bCs/>
          <w:sz w:val="18"/>
          <w:szCs w:val="18"/>
          <w:rtl/>
        </w:rPr>
        <w:t>ومن رجال مدرسة الكوفة المبرزين في ذلك المجال: المفضل الضبي، وهو عربي صميم أسهم بشكل واضح في حركة التدوين، وقام بجمع كثير من أشعار العرب وأخبارهم، وتتلمذ على يديه مجموعة من العلماء والرواة منهم: أبو عمرو إسحاق الشيباني، وابن الأعرابي، والفراء، وأبو زيد القرشي، وغيرهم من أعلام اللغة والأدب، وخلال عملية البحث والتدوين هذه -التي أشرنا إليها- حرص هؤلاء العلماء على أن يلتزموا في عملهم هذا منهجًا محددًا، وقائمًا على أصول ثابتة، مما يجعلنا نطمئن لمنهجهم في جمع هذا التراث وتدوينه، ومدى الاهتمام به، ونثق في صحته وسلامة ما وصل إلينا منه عن طريق هؤلاء الرواة.</w:t>
      </w:r>
    </w:p>
    <w:p w:rsidR="00D02129" w:rsidRPr="00D02129" w:rsidRDefault="00D02129" w:rsidP="00D02129">
      <w:pPr>
        <w:pStyle w:val="a3"/>
        <w:bidi/>
        <w:spacing w:before="0" w:beforeAutospacing="0" w:after="120" w:afterAutospacing="0"/>
        <w:jc w:val="lowKashida"/>
        <w:rPr>
          <w:rFonts w:asciiTheme="majorBidi" w:hAnsiTheme="majorBidi" w:cstheme="majorBidi"/>
          <w:b/>
          <w:bCs/>
          <w:sz w:val="18"/>
          <w:szCs w:val="18"/>
          <w:rtl/>
        </w:rPr>
      </w:pPr>
      <w:r w:rsidRPr="00D02129">
        <w:rPr>
          <w:rFonts w:asciiTheme="majorBidi" w:hAnsiTheme="majorBidi" w:cstheme="majorBidi"/>
          <w:b/>
          <w:bCs/>
          <w:sz w:val="18"/>
          <w:szCs w:val="18"/>
          <w:rtl/>
        </w:rPr>
        <w:t xml:space="preserve">نذكر هذا حتى لا يؤثر فينا ما نسمعه من كلام في مثل هذه القضية، وهي قضية نسبة الأشعار إلى غير أصحابها، أو ما يعرف بقضية الانتحال، هذا المنهج الذي  حرص عليه هؤلاء العلماء منهج دقيق، يتلخص في نقطتين مهمتين: </w:t>
      </w:r>
    </w:p>
    <w:p w:rsidR="00D02129" w:rsidRPr="00D02129" w:rsidRDefault="00D02129" w:rsidP="00D02129">
      <w:pPr>
        <w:pStyle w:val="a3"/>
        <w:bidi/>
        <w:spacing w:before="0" w:beforeAutospacing="0" w:after="120" w:afterAutospacing="0"/>
        <w:jc w:val="lowKashida"/>
        <w:rPr>
          <w:rFonts w:asciiTheme="majorBidi" w:hAnsiTheme="majorBidi" w:cstheme="majorBidi"/>
          <w:b/>
          <w:bCs/>
          <w:sz w:val="18"/>
          <w:szCs w:val="18"/>
        </w:rPr>
      </w:pPr>
      <w:r w:rsidRPr="00D02129">
        <w:rPr>
          <w:rFonts w:asciiTheme="majorBidi" w:hAnsiTheme="majorBidi" w:cstheme="majorBidi"/>
          <w:b/>
          <w:bCs/>
          <w:color w:val="000080"/>
          <w:sz w:val="18"/>
          <w:szCs w:val="18"/>
          <w:rtl/>
        </w:rPr>
        <w:t>المنهج الأول:</w:t>
      </w:r>
      <w:r w:rsidRPr="00D02129">
        <w:rPr>
          <w:rFonts w:asciiTheme="majorBidi" w:hAnsiTheme="majorBidi" w:cstheme="majorBidi"/>
          <w:b/>
          <w:bCs/>
          <w:sz w:val="18"/>
          <w:szCs w:val="18"/>
          <w:rtl/>
        </w:rPr>
        <w:t xml:space="preserve"> تحديد مصادر هذا التراث وتعيين أماكن وجوده، كانوا يحددون المصدر أين يوجد، وفي أي مكان، ثم يشدون الرحال إلى هذه الأماكن، إلى تلك البوادي والمناطق المعزولة، نعم كانت معزولة نسبيا عن اختلاط اللغة في العصر العباسي بالذات؛ لأن العرب اختلطوا بالموالي وظهر اللحن، فكان هؤلاء الرواة يفضلون أن يذهبوا إلى هذه المناطق المعزولة نسبيا؛ حتى تكون اللغة لغة بعيدة وصحيحة وخالية من اللحن؛ ليأخذوا اللغة من أفواه الأعراب الذين لم تفش فيهم عجمة أو لحن، هذا هو المنهج الأول.</w:t>
      </w:r>
    </w:p>
    <w:p w:rsidR="00D02129" w:rsidRPr="00D02129" w:rsidRDefault="00D02129" w:rsidP="00D02129">
      <w:pPr>
        <w:pStyle w:val="a3"/>
        <w:bidi/>
        <w:spacing w:before="0" w:beforeAutospacing="0" w:after="120" w:afterAutospacing="0"/>
        <w:jc w:val="lowKashida"/>
        <w:rPr>
          <w:rFonts w:asciiTheme="majorBidi" w:hAnsiTheme="majorBidi" w:cstheme="majorBidi"/>
          <w:b/>
          <w:bCs/>
          <w:spacing w:val="-2"/>
          <w:sz w:val="18"/>
          <w:szCs w:val="18"/>
        </w:rPr>
      </w:pPr>
      <w:r w:rsidRPr="00D02129">
        <w:rPr>
          <w:rFonts w:asciiTheme="majorBidi" w:hAnsiTheme="majorBidi" w:cstheme="majorBidi"/>
          <w:b/>
          <w:bCs/>
          <w:color w:val="000080"/>
          <w:spacing w:val="-2"/>
          <w:sz w:val="18"/>
          <w:szCs w:val="18"/>
          <w:rtl/>
        </w:rPr>
        <w:lastRenderedPageBreak/>
        <w:t>المنهج الثاني:</w:t>
      </w:r>
      <w:r w:rsidRPr="00D02129">
        <w:rPr>
          <w:rFonts w:asciiTheme="majorBidi" w:hAnsiTheme="majorBidi" w:cstheme="majorBidi"/>
          <w:b/>
          <w:bCs/>
          <w:spacing w:val="-2"/>
          <w:sz w:val="18"/>
          <w:szCs w:val="18"/>
          <w:rtl/>
        </w:rPr>
        <w:t xml:space="preserve"> فحص ما جمعه الرواة من نصوص فحصًا دقيقًا؛ لتوثيق مصدره ومتنه على أيدي خبراء ذوي بصر باللغة والشعر، فكشفوا عن زائفه ومنحوله، وميزوا الرواة الذين عرفوا بالضبط والثقة من الذين لم يعرفوا بهذا، مِن الذين اشتهروا بالوضع والنحل، فجرَّحوهم ونبهوا وأشاروا إليهم، ولم يكونوا يتهاونوا في ذلك على الإطلاق، ونحن نعلم أنه بمقدار تراث الأمة -كما قلت- وأهميته بالنسبة لهم يكون الاهتمام بهذا التراث رواية وتدوينًا وتمحيصًا، فكانوا جادين في عملهم، كانوا جادين في فحص الروايات، كانوا جادين في امتحان الرواة والتشدد في ذلك تشددًا واضحًا، وكانت  نتيجة هذه الحركة النشطة أن وصل إلينا كم ضخم من هذا التراث، عكف عليه الدارسون كل يعمل في مجال تخصصه. </w:t>
      </w:r>
    </w:p>
    <w:p w:rsidR="00D02129" w:rsidRPr="00D02129" w:rsidRDefault="00D02129" w:rsidP="00D02129">
      <w:pPr>
        <w:pStyle w:val="a3"/>
        <w:bidi/>
        <w:spacing w:before="0" w:beforeAutospacing="0" w:after="120" w:afterAutospacing="0"/>
        <w:jc w:val="lowKashida"/>
        <w:rPr>
          <w:rFonts w:asciiTheme="majorBidi" w:hAnsiTheme="majorBidi" w:cstheme="majorBidi"/>
          <w:b/>
          <w:bCs/>
          <w:sz w:val="18"/>
          <w:szCs w:val="18"/>
          <w:lang w:bidi="ar-EG"/>
        </w:rPr>
      </w:pPr>
      <w:r w:rsidRPr="00D02129">
        <w:rPr>
          <w:rFonts w:asciiTheme="majorBidi" w:hAnsiTheme="majorBidi" w:cstheme="majorBidi"/>
          <w:b/>
          <w:bCs/>
          <w:sz w:val="18"/>
          <w:szCs w:val="18"/>
          <w:rtl/>
        </w:rPr>
        <w:t>فاللغويون يستخلصون منه معجم ألفاظ اللغة، ويميزون قواعد نحوها من صرفها وضوابط شعرها، وخصائصها الأسلوبية والبيانية، وآخرون منهم اختصوا بدراسته وتحليله، فشرحوا ألفاظه وفسروا غريبه، واهتم غيرهم بتذوقه ونقده، كما اتجه آخرون إلى تراجم الشعراء وجمع المرويات عنهم.</w:t>
      </w:r>
    </w:p>
    <w:p w:rsidR="00D02129" w:rsidRPr="00D02129" w:rsidRDefault="00D02129" w:rsidP="00D02129">
      <w:pPr>
        <w:pStyle w:val="a3"/>
        <w:bidi/>
        <w:spacing w:before="0" w:beforeAutospacing="0" w:after="120" w:afterAutospacing="0"/>
        <w:jc w:val="lowKashida"/>
        <w:rPr>
          <w:rFonts w:asciiTheme="majorBidi" w:hAnsiTheme="majorBidi" w:cstheme="majorBidi"/>
          <w:b/>
          <w:bCs/>
          <w:sz w:val="18"/>
          <w:szCs w:val="18"/>
          <w:rtl/>
        </w:rPr>
      </w:pPr>
      <w:r w:rsidRPr="00D02129">
        <w:rPr>
          <w:rFonts w:asciiTheme="majorBidi" w:hAnsiTheme="majorBidi" w:cstheme="majorBidi"/>
          <w:b/>
          <w:bCs/>
          <w:sz w:val="18"/>
          <w:szCs w:val="18"/>
          <w:rtl/>
        </w:rPr>
        <w:t>وهكذا نحن الآن صرنا ضمن هؤلاء الباحثين، ننظر في هذا التراث ونبحث فيه؛ لنستكشف عوالمه، ونستنبط المقاييس الفنية، والأجناس الأدبية التي ابتكروها وتوصلوا إليها</w:t>
      </w:r>
    </w:p>
    <w:p w:rsidR="00D02129" w:rsidRPr="00D02129" w:rsidRDefault="00D02129" w:rsidP="00D02129">
      <w:pPr>
        <w:spacing w:line="240" w:lineRule="auto"/>
        <w:jc w:val="center"/>
        <w:rPr>
          <w:rFonts w:asciiTheme="majorBidi" w:hAnsiTheme="majorBidi" w:cstheme="majorBidi"/>
          <w:b/>
          <w:bCs/>
          <w:sz w:val="18"/>
          <w:szCs w:val="18"/>
          <w:rtl/>
          <w:lang w:bidi="ar-EG"/>
        </w:rPr>
      </w:pPr>
      <w:r w:rsidRPr="00D02129">
        <w:rPr>
          <w:rFonts w:asciiTheme="majorBidi" w:hAnsiTheme="majorBidi" w:cstheme="majorBidi"/>
          <w:b/>
          <w:bCs/>
          <w:sz w:val="18"/>
          <w:szCs w:val="18"/>
          <w:rtl/>
          <w:lang w:bidi="ar-EG"/>
        </w:rPr>
        <w:t>المراجع والمصادر</w:t>
      </w:r>
    </w:p>
    <w:p w:rsidR="00D02129" w:rsidRPr="00D02129" w:rsidRDefault="00D02129" w:rsidP="00D02129">
      <w:pPr>
        <w:numPr>
          <w:ilvl w:val="0"/>
          <w:numId w:val="1"/>
        </w:numPr>
        <w:spacing w:after="120" w:line="240" w:lineRule="auto"/>
        <w:jc w:val="lowKashida"/>
        <w:rPr>
          <w:rFonts w:asciiTheme="majorBidi" w:hAnsiTheme="majorBidi" w:cstheme="majorBidi"/>
          <w:b/>
          <w:bCs/>
          <w:sz w:val="18"/>
          <w:szCs w:val="18"/>
          <w:rtl/>
        </w:rPr>
      </w:pPr>
      <w:r w:rsidRPr="00D02129">
        <w:rPr>
          <w:rFonts w:asciiTheme="majorBidi" w:hAnsiTheme="majorBidi" w:cstheme="majorBidi"/>
          <w:b/>
          <w:bCs/>
          <w:sz w:val="18"/>
          <w:szCs w:val="18"/>
          <w:rtl/>
        </w:rPr>
        <w:t>شوقي ضيف، (البحث الأدبيّ: طبيعته. مناهجه. أصوله. مصادره) ،مصر،  دار المعارف، 1972م</w:t>
      </w:r>
    </w:p>
    <w:p w:rsidR="00D02129" w:rsidRPr="00D02129" w:rsidRDefault="00D02129" w:rsidP="00D02129">
      <w:pPr>
        <w:numPr>
          <w:ilvl w:val="0"/>
          <w:numId w:val="1"/>
        </w:numPr>
        <w:spacing w:after="120" w:line="240" w:lineRule="auto"/>
        <w:jc w:val="lowKashida"/>
        <w:rPr>
          <w:rFonts w:asciiTheme="majorBidi" w:hAnsiTheme="majorBidi" w:cstheme="majorBidi"/>
          <w:b/>
          <w:bCs/>
          <w:sz w:val="18"/>
          <w:szCs w:val="18"/>
          <w:rtl/>
        </w:rPr>
      </w:pPr>
      <w:r w:rsidRPr="00D02129">
        <w:rPr>
          <w:rFonts w:asciiTheme="majorBidi" w:hAnsiTheme="majorBidi" w:cstheme="majorBidi"/>
          <w:b/>
          <w:bCs/>
          <w:sz w:val="18"/>
          <w:szCs w:val="18"/>
          <w:rtl/>
        </w:rPr>
        <w:t>عبد السلام هارون، (تحقيق النّصوص ونشرها) ، القاهرة، طبعة لجنة التّأليف والتّرجمة والنّشر, 1954م</w:t>
      </w:r>
    </w:p>
    <w:p w:rsidR="00D02129" w:rsidRPr="00D02129" w:rsidRDefault="00D02129" w:rsidP="00D02129">
      <w:pPr>
        <w:numPr>
          <w:ilvl w:val="0"/>
          <w:numId w:val="1"/>
        </w:numPr>
        <w:spacing w:after="120" w:line="240" w:lineRule="auto"/>
        <w:jc w:val="lowKashida"/>
        <w:rPr>
          <w:rFonts w:asciiTheme="majorBidi" w:hAnsiTheme="majorBidi" w:cstheme="majorBidi"/>
          <w:b/>
          <w:bCs/>
          <w:sz w:val="18"/>
          <w:szCs w:val="18"/>
          <w:rtl/>
        </w:rPr>
      </w:pPr>
      <w:r w:rsidRPr="00D02129">
        <w:rPr>
          <w:rFonts w:asciiTheme="majorBidi" w:hAnsiTheme="majorBidi" w:cstheme="majorBidi"/>
          <w:b/>
          <w:bCs/>
          <w:sz w:val="18"/>
          <w:szCs w:val="18"/>
          <w:rtl/>
          <w:lang w:bidi="ar-EG"/>
        </w:rPr>
        <w:t xml:space="preserve">مجموعة من أساتذة قسم الأدب والنّقد في كلية اللّغة العربيّة بجامعة الأزهر، </w:t>
      </w:r>
      <w:r w:rsidRPr="00D02129">
        <w:rPr>
          <w:rFonts w:asciiTheme="majorBidi" w:hAnsiTheme="majorBidi" w:cstheme="majorBidi"/>
          <w:b/>
          <w:bCs/>
          <w:sz w:val="18"/>
          <w:szCs w:val="18"/>
          <w:rtl/>
        </w:rPr>
        <w:t>(البحث الأدبيّ: تأصيل ودراسة) ،</w:t>
      </w:r>
      <w:r w:rsidRPr="00D02129">
        <w:rPr>
          <w:rFonts w:asciiTheme="majorBidi" w:hAnsiTheme="majorBidi" w:cstheme="majorBidi"/>
          <w:b/>
          <w:bCs/>
          <w:sz w:val="18"/>
          <w:szCs w:val="18"/>
          <w:rtl/>
          <w:lang w:bidi="ar-EG"/>
        </w:rPr>
        <w:t>مطبعة الجريسي, 2001م</w:t>
      </w:r>
    </w:p>
    <w:p w:rsidR="00D02129" w:rsidRPr="00D02129" w:rsidRDefault="00D02129" w:rsidP="00D02129">
      <w:pPr>
        <w:numPr>
          <w:ilvl w:val="0"/>
          <w:numId w:val="1"/>
        </w:numPr>
        <w:spacing w:after="120" w:line="240" w:lineRule="auto"/>
        <w:jc w:val="lowKashida"/>
        <w:rPr>
          <w:rFonts w:asciiTheme="majorBidi" w:hAnsiTheme="majorBidi" w:cstheme="majorBidi"/>
          <w:b/>
          <w:bCs/>
          <w:sz w:val="18"/>
          <w:szCs w:val="18"/>
          <w:rtl/>
        </w:rPr>
      </w:pPr>
      <w:r w:rsidRPr="00D02129">
        <w:rPr>
          <w:rFonts w:asciiTheme="majorBidi" w:hAnsiTheme="majorBidi" w:cstheme="majorBidi"/>
          <w:b/>
          <w:bCs/>
          <w:sz w:val="18"/>
          <w:szCs w:val="18"/>
          <w:rtl/>
          <w:lang w:bidi="ar-EG"/>
        </w:rPr>
        <w:t xml:space="preserve">أحمد محمد الخراط، </w:t>
      </w:r>
      <w:r w:rsidRPr="00D02129">
        <w:rPr>
          <w:rFonts w:asciiTheme="majorBidi" w:hAnsiTheme="majorBidi" w:cstheme="majorBidi"/>
          <w:b/>
          <w:bCs/>
          <w:sz w:val="18"/>
          <w:szCs w:val="18"/>
          <w:rtl/>
        </w:rPr>
        <w:t>(محاضرات في تحقيق النّصوص) ،</w:t>
      </w:r>
      <w:r w:rsidRPr="00D02129">
        <w:rPr>
          <w:rFonts w:asciiTheme="majorBidi" w:hAnsiTheme="majorBidi" w:cstheme="majorBidi"/>
          <w:b/>
          <w:bCs/>
          <w:sz w:val="18"/>
          <w:szCs w:val="18"/>
          <w:rtl/>
          <w:lang w:bidi="ar-EG"/>
        </w:rPr>
        <w:t>المدينة المنورة، المنارة للطباعة والنّشر والتّوزيع، 1984م</w:t>
      </w:r>
    </w:p>
    <w:p w:rsidR="00D02129" w:rsidRPr="00D02129" w:rsidRDefault="00D02129" w:rsidP="00D02129">
      <w:pPr>
        <w:numPr>
          <w:ilvl w:val="0"/>
          <w:numId w:val="1"/>
        </w:numPr>
        <w:spacing w:after="120" w:line="240" w:lineRule="auto"/>
        <w:jc w:val="lowKashida"/>
        <w:rPr>
          <w:rFonts w:asciiTheme="majorBidi" w:hAnsiTheme="majorBidi" w:cstheme="majorBidi"/>
          <w:b/>
          <w:bCs/>
          <w:sz w:val="18"/>
          <w:szCs w:val="18"/>
          <w:rtl/>
        </w:rPr>
      </w:pPr>
      <w:r w:rsidRPr="00D02129">
        <w:rPr>
          <w:rFonts w:asciiTheme="majorBidi" w:hAnsiTheme="majorBidi" w:cstheme="majorBidi"/>
          <w:b/>
          <w:bCs/>
          <w:sz w:val="18"/>
          <w:szCs w:val="18"/>
          <w:rtl/>
          <w:lang w:bidi="ar-EG"/>
        </w:rPr>
        <w:t xml:space="preserve">عزام بن الاصبع السّلمي، تحقيق: عبد السّلام هارون، </w:t>
      </w:r>
      <w:r w:rsidRPr="00D02129">
        <w:rPr>
          <w:rFonts w:asciiTheme="majorBidi" w:hAnsiTheme="majorBidi" w:cstheme="majorBidi"/>
          <w:b/>
          <w:bCs/>
          <w:sz w:val="18"/>
          <w:szCs w:val="18"/>
          <w:rtl/>
        </w:rPr>
        <w:t>(نوادر المخطوطات) ،</w:t>
      </w:r>
      <w:r w:rsidRPr="00D02129">
        <w:rPr>
          <w:rFonts w:asciiTheme="majorBidi" w:hAnsiTheme="majorBidi" w:cstheme="majorBidi"/>
          <w:b/>
          <w:bCs/>
          <w:sz w:val="18"/>
          <w:szCs w:val="18"/>
          <w:rtl/>
          <w:lang w:bidi="ar-EG"/>
        </w:rPr>
        <w:t xml:space="preserve"> القاهرة،  مكتبة مصطفى البابيّ الحلبيّ،1973م</w:t>
      </w:r>
    </w:p>
    <w:p w:rsidR="00D02129" w:rsidRPr="00D02129" w:rsidRDefault="00D02129" w:rsidP="00D02129">
      <w:pPr>
        <w:numPr>
          <w:ilvl w:val="0"/>
          <w:numId w:val="1"/>
        </w:numPr>
        <w:spacing w:after="120" w:line="240" w:lineRule="auto"/>
        <w:jc w:val="lowKashida"/>
        <w:rPr>
          <w:rFonts w:asciiTheme="majorBidi" w:hAnsiTheme="majorBidi" w:cstheme="majorBidi"/>
          <w:b/>
          <w:bCs/>
          <w:sz w:val="18"/>
          <w:szCs w:val="18"/>
          <w:rtl/>
        </w:rPr>
      </w:pPr>
      <w:r w:rsidRPr="00D02129">
        <w:rPr>
          <w:rFonts w:asciiTheme="majorBidi" w:hAnsiTheme="majorBidi" w:cstheme="majorBidi"/>
          <w:b/>
          <w:bCs/>
          <w:sz w:val="18"/>
          <w:szCs w:val="18"/>
          <w:rtl/>
          <w:lang w:bidi="ar-EG"/>
        </w:rPr>
        <w:t xml:space="preserve">لحسن بن عبد الله بن سعيد العسكريّ، تحقيق: عبد العزيز أحمد، </w:t>
      </w:r>
      <w:r w:rsidRPr="00D02129">
        <w:rPr>
          <w:rFonts w:asciiTheme="majorBidi" w:hAnsiTheme="majorBidi" w:cstheme="majorBidi"/>
          <w:b/>
          <w:bCs/>
          <w:sz w:val="18"/>
          <w:szCs w:val="18"/>
          <w:rtl/>
        </w:rPr>
        <w:t>(شرح ما يقع فيه التّصحيف والتّحريف) ،</w:t>
      </w:r>
      <w:r w:rsidRPr="00D02129">
        <w:rPr>
          <w:rFonts w:asciiTheme="majorBidi" w:hAnsiTheme="majorBidi" w:cstheme="majorBidi"/>
          <w:b/>
          <w:bCs/>
          <w:sz w:val="18"/>
          <w:szCs w:val="18"/>
          <w:rtl/>
          <w:lang w:bidi="ar-EG"/>
        </w:rPr>
        <w:t>ا ، القاهرة، مطبعة مصطفى البابيّ الحلبيّ، 1963م</w:t>
      </w:r>
    </w:p>
    <w:p w:rsidR="00D02129" w:rsidRPr="00D02129" w:rsidRDefault="00D02129" w:rsidP="00D02129">
      <w:pPr>
        <w:numPr>
          <w:ilvl w:val="0"/>
          <w:numId w:val="1"/>
        </w:numPr>
        <w:spacing w:after="120" w:line="240" w:lineRule="auto"/>
        <w:jc w:val="lowKashida"/>
        <w:rPr>
          <w:rFonts w:asciiTheme="majorBidi" w:hAnsiTheme="majorBidi" w:cstheme="majorBidi"/>
          <w:b/>
          <w:bCs/>
          <w:sz w:val="18"/>
          <w:szCs w:val="18"/>
          <w:rtl/>
        </w:rPr>
      </w:pPr>
      <w:r w:rsidRPr="00D02129">
        <w:rPr>
          <w:rFonts w:asciiTheme="majorBidi" w:hAnsiTheme="majorBidi" w:cstheme="majorBidi"/>
          <w:b/>
          <w:bCs/>
          <w:sz w:val="18"/>
          <w:szCs w:val="18"/>
          <w:rtl/>
          <w:lang w:bidi="ar-EG"/>
        </w:rPr>
        <w:t xml:space="preserve">محمد عبد المنعم خفاجي، </w:t>
      </w:r>
      <w:r w:rsidRPr="00D02129">
        <w:rPr>
          <w:rFonts w:asciiTheme="majorBidi" w:hAnsiTheme="majorBidi" w:cstheme="majorBidi"/>
          <w:b/>
          <w:bCs/>
          <w:sz w:val="18"/>
          <w:szCs w:val="18"/>
          <w:rtl/>
        </w:rPr>
        <w:t>(البحوث الأدبيّة) ،</w:t>
      </w:r>
      <w:r w:rsidRPr="00D02129">
        <w:rPr>
          <w:rFonts w:asciiTheme="majorBidi" w:hAnsiTheme="majorBidi" w:cstheme="majorBidi"/>
          <w:b/>
          <w:bCs/>
          <w:sz w:val="18"/>
          <w:szCs w:val="18"/>
          <w:rtl/>
          <w:lang w:bidi="ar-EG"/>
        </w:rPr>
        <w:t xml:space="preserve"> دار الكتاب اللّبنانيّ، 1987م</w:t>
      </w:r>
    </w:p>
    <w:p w:rsidR="00D02129" w:rsidRPr="00D02129" w:rsidRDefault="00D02129" w:rsidP="00D02129">
      <w:pPr>
        <w:numPr>
          <w:ilvl w:val="0"/>
          <w:numId w:val="1"/>
        </w:numPr>
        <w:spacing w:after="120" w:line="240" w:lineRule="auto"/>
        <w:jc w:val="lowKashida"/>
        <w:rPr>
          <w:rFonts w:asciiTheme="majorBidi" w:hAnsiTheme="majorBidi" w:cstheme="majorBidi"/>
          <w:b/>
          <w:bCs/>
          <w:sz w:val="18"/>
          <w:szCs w:val="18"/>
          <w:rtl/>
        </w:rPr>
      </w:pPr>
      <w:r w:rsidRPr="00D02129">
        <w:rPr>
          <w:rFonts w:asciiTheme="majorBidi" w:hAnsiTheme="majorBidi" w:cstheme="majorBidi"/>
          <w:b/>
          <w:bCs/>
          <w:sz w:val="18"/>
          <w:szCs w:val="18"/>
          <w:rtl/>
          <w:lang w:bidi="ar-EG"/>
        </w:rPr>
        <w:t xml:space="preserve">كارل بروكلمان، ترجمة: عبد الحليم النّجار، ، </w:t>
      </w:r>
      <w:r w:rsidRPr="00D02129">
        <w:rPr>
          <w:rFonts w:asciiTheme="majorBidi" w:hAnsiTheme="majorBidi" w:cstheme="majorBidi"/>
          <w:b/>
          <w:bCs/>
          <w:sz w:val="18"/>
          <w:szCs w:val="18"/>
          <w:rtl/>
        </w:rPr>
        <w:t>(تاريخ الأدب العربيّ) ،</w:t>
      </w:r>
      <w:r w:rsidRPr="00D02129">
        <w:rPr>
          <w:rFonts w:asciiTheme="majorBidi" w:hAnsiTheme="majorBidi" w:cstheme="majorBidi"/>
          <w:b/>
          <w:bCs/>
          <w:sz w:val="18"/>
          <w:szCs w:val="18"/>
          <w:rtl/>
          <w:lang w:bidi="ar-EG"/>
        </w:rPr>
        <w:t xml:space="preserve"> مصر، دار المعارف، 1961م</w:t>
      </w:r>
    </w:p>
    <w:p w:rsidR="00D02129" w:rsidRPr="00D02129" w:rsidRDefault="00D02129" w:rsidP="00D02129">
      <w:pPr>
        <w:numPr>
          <w:ilvl w:val="0"/>
          <w:numId w:val="1"/>
        </w:numPr>
        <w:spacing w:after="120" w:line="240" w:lineRule="auto"/>
        <w:jc w:val="lowKashida"/>
        <w:rPr>
          <w:rFonts w:asciiTheme="majorBidi" w:hAnsiTheme="majorBidi" w:cstheme="majorBidi"/>
          <w:b/>
          <w:bCs/>
          <w:sz w:val="18"/>
          <w:szCs w:val="18"/>
          <w:rtl/>
        </w:rPr>
      </w:pPr>
      <w:r w:rsidRPr="00D02129">
        <w:rPr>
          <w:rFonts w:asciiTheme="majorBidi" w:hAnsiTheme="majorBidi" w:cstheme="majorBidi"/>
          <w:b/>
          <w:bCs/>
          <w:sz w:val="18"/>
          <w:szCs w:val="18"/>
          <w:rtl/>
          <w:lang w:bidi="ar-EG"/>
        </w:rPr>
        <w:t xml:space="preserve">حسين علي محمد, </w:t>
      </w:r>
      <w:r w:rsidRPr="00D02129">
        <w:rPr>
          <w:rFonts w:asciiTheme="majorBidi" w:hAnsiTheme="majorBidi" w:cstheme="majorBidi"/>
          <w:b/>
          <w:bCs/>
          <w:sz w:val="18"/>
          <w:szCs w:val="18"/>
          <w:rtl/>
        </w:rPr>
        <w:t>(التّحرير الأدبيّ) ،</w:t>
      </w:r>
      <w:r w:rsidRPr="00D02129">
        <w:rPr>
          <w:rFonts w:asciiTheme="majorBidi" w:hAnsiTheme="majorBidi" w:cstheme="majorBidi"/>
          <w:b/>
          <w:bCs/>
          <w:sz w:val="18"/>
          <w:szCs w:val="18"/>
          <w:rtl/>
          <w:lang w:bidi="ar-EG"/>
        </w:rPr>
        <w:t xml:space="preserve"> الرياض، مكتبة العبيكان، 1996م</w:t>
      </w:r>
    </w:p>
    <w:p w:rsidR="00D02129" w:rsidRPr="00D02129" w:rsidRDefault="00D02129" w:rsidP="00D02129">
      <w:pPr>
        <w:numPr>
          <w:ilvl w:val="0"/>
          <w:numId w:val="1"/>
        </w:numPr>
        <w:spacing w:after="120" w:line="240" w:lineRule="auto"/>
        <w:jc w:val="lowKashida"/>
        <w:rPr>
          <w:rFonts w:asciiTheme="majorBidi" w:hAnsiTheme="majorBidi" w:cstheme="majorBidi"/>
          <w:b/>
          <w:bCs/>
          <w:sz w:val="18"/>
          <w:szCs w:val="18"/>
          <w:rtl/>
        </w:rPr>
      </w:pPr>
      <w:r w:rsidRPr="00D02129">
        <w:rPr>
          <w:rFonts w:asciiTheme="majorBidi" w:hAnsiTheme="majorBidi" w:cstheme="majorBidi"/>
          <w:b/>
          <w:bCs/>
          <w:sz w:val="18"/>
          <w:szCs w:val="18"/>
          <w:rtl/>
          <w:lang w:bidi="ar-EG"/>
        </w:rPr>
        <w:t xml:space="preserve">طاهر أحمد مكي، </w:t>
      </w:r>
      <w:r w:rsidRPr="00D02129">
        <w:rPr>
          <w:rFonts w:asciiTheme="majorBidi" w:hAnsiTheme="majorBidi" w:cstheme="majorBidi"/>
          <w:b/>
          <w:bCs/>
          <w:sz w:val="18"/>
          <w:szCs w:val="18"/>
          <w:rtl/>
        </w:rPr>
        <w:t>(مصادر الأدب) ،</w:t>
      </w:r>
      <w:r w:rsidRPr="00D02129">
        <w:rPr>
          <w:rFonts w:asciiTheme="majorBidi" w:hAnsiTheme="majorBidi" w:cstheme="majorBidi"/>
          <w:b/>
          <w:bCs/>
          <w:sz w:val="18"/>
          <w:szCs w:val="18"/>
          <w:rtl/>
          <w:lang w:bidi="ar-EG"/>
        </w:rPr>
        <w:t xml:space="preserve"> مصر، دار المعارف، 1977م</w:t>
      </w:r>
    </w:p>
    <w:p w:rsidR="00D02129" w:rsidRPr="00D02129" w:rsidRDefault="00D02129" w:rsidP="00D02129">
      <w:pPr>
        <w:numPr>
          <w:ilvl w:val="0"/>
          <w:numId w:val="1"/>
        </w:numPr>
        <w:spacing w:after="120" w:line="240" w:lineRule="auto"/>
        <w:jc w:val="lowKashida"/>
        <w:rPr>
          <w:rFonts w:asciiTheme="majorBidi" w:hAnsiTheme="majorBidi" w:cstheme="majorBidi"/>
          <w:b/>
          <w:bCs/>
          <w:sz w:val="18"/>
          <w:szCs w:val="18"/>
          <w:rtl/>
        </w:rPr>
      </w:pPr>
      <w:r w:rsidRPr="00D02129">
        <w:rPr>
          <w:rFonts w:asciiTheme="majorBidi" w:hAnsiTheme="majorBidi" w:cstheme="majorBidi"/>
          <w:b/>
          <w:bCs/>
          <w:sz w:val="18"/>
          <w:szCs w:val="18"/>
          <w:rtl/>
          <w:lang w:bidi="ar-EG"/>
        </w:rPr>
        <w:t xml:space="preserve">عز الدين إسماعيل، </w:t>
      </w:r>
      <w:r w:rsidRPr="00D02129">
        <w:rPr>
          <w:rFonts w:asciiTheme="majorBidi" w:hAnsiTheme="majorBidi" w:cstheme="majorBidi"/>
          <w:b/>
          <w:bCs/>
          <w:sz w:val="18"/>
          <w:szCs w:val="18"/>
          <w:rtl/>
        </w:rPr>
        <w:t>(المصادر الأدبيّة واللّغويّة في التّراث الأدبيّ) ،</w:t>
      </w:r>
      <w:r w:rsidRPr="00D02129">
        <w:rPr>
          <w:rFonts w:asciiTheme="majorBidi" w:hAnsiTheme="majorBidi" w:cstheme="majorBidi"/>
          <w:b/>
          <w:bCs/>
          <w:sz w:val="18"/>
          <w:szCs w:val="18"/>
          <w:rtl/>
          <w:lang w:bidi="ar-EG"/>
        </w:rPr>
        <w:t xml:space="preserve"> بيروت، دار النّهضة العربيّة, 1976م</w:t>
      </w:r>
    </w:p>
    <w:p w:rsidR="00D02129" w:rsidRPr="00D02129" w:rsidRDefault="00D02129" w:rsidP="00D02129">
      <w:pPr>
        <w:numPr>
          <w:ilvl w:val="0"/>
          <w:numId w:val="1"/>
        </w:numPr>
        <w:spacing w:after="120" w:line="240" w:lineRule="auto"/>
        <w:jc w:val="lowKashida"/>
        <w:rPr>
          <w:rFonts w:asciiTheme="majorBidi" w:hAnsiTheme="majorBidi" w:cstheme="majorBidi"/>
          <w:b/>
          <w:bCs/>
          <w:sz w:val="18"/>
          <w:szCs w:val="18"/>
          <w:rtl/>
        </w:rPr>
      </w:pPr>
      <w:r w:rsidRPr="00D02129">
        <w:rPr>
          <w:rFonts w:asciiTheme="majorBidi" w:hAnsiTheme="majorBidi" w:cstheme="majorBidi"/>
          <w:b/>
          <w:bCs/>
          <w:sz w:val="18"/>
          <w:szCs w:val="18"/>
          <w:rtl/>
          <w:lang w:bidi="ar-EG"/>
        </w:rPr>
        <w:t xml:space="preserve">عائشة عبد الرحمن، </w:t>
      </w:r>
      <w:r w:rsidRPr="00D02129">
        <w:rPr>
          <w:rFonts w:asciiTheme="majorBidi" w:hAnsiTheme="majorBidi" w:cstheme="majorBidi"/>
          <w:b/>
          <w:bCs/>
          <w:sz w:val="18"/>
          <w:szCs w:val="18"/>
          <w:rtl/>
        </w:rPr>
        <w:t>(مقدّمة في المنهج) ،</w:t>
      </w:r>
      <w:r w:rsidRPr="00D02129">
        <w:rPr>
          <w:rFonts w:asciiTheme="majorBidi" w:hAnsiTheme="majorBidi" w:cstheme="majorBidi"/>
          <w:b/>
          <w:bCs/>
          <w:sz w:val="18"/>
          <w:szCs w:val="18"/>
          <w:rtl/>
          <w:lang w:bidi="ar-EG"/>
        </w:rPr>
        <w:t xml:space="preserve"> طبعة معهد البحوث والدّراسات العربيّة, 1971م</w:t>
      </w:r>
    </w:p>
    <w:p w:rsidR="00D02129" w:rsidRPr="00D02129" w:rsidRDefault="00D02129" w:rsidP="00D02129">
      <w:pPr>
        <w:numPr>
          <w:ilvl w:val="0"/>
          <w:numId w:val="1"/>
        </w:numPr>
        <w:spacing w:after="120" w:line="240" w:lineRule="auto"/>
        <w:jc w:val="lowKashida"/>
        <w:rPr>
          <w:rFonts w:asciiTheme="majorBidi" w:hAnsiTheme="majorBidi" w:cstheme="majorBidi"/>
          <w:b/>
          <w:bCs/>
          <w:sz w:val="18"/>
          <w:szCs w:val="18"/>
          <w:rtl/>
        </w:rPr>
      </w:pPr>
      <w:r w:rsidRPr="00D02129">
        <w:rPr>
          <w:rFonts w:asciiTheme="majorBidi" w:hAnsiTheme="majorBidi" w:cstheme="majorBidi"/>
          <w:b/>
          <w:bCs/>
          <w:sz w:val="18"/>
          <w:szCs w:val="18"/>
          <w:rtl/>
          <w:lang w:bidi="ar-EG"/>
        </w:rPr>
        <w:t xml:space="preserve">مصطفى الشكعة، </w:t>
      </w:r>
      <w:r w:rsidRPr="00D02129">
        <w:rPr>
          <w:rFonts w:asciiTheme="majorBidi" w:hAnsiTheme="majorBidi" w:cstheme="majorBidi"/>
          <w:b/>
          <w:bCs/>
          <w:sz w:val="18"/>
          <w:szCs w:val="18"/>
          <w:rtl/>
        </w:rPr>
        <w:t>(مناهج التّأليف عند العلماء العرب) ،</w:t>
      </w:r>
      <w:r w:rsidRPr="00D02129">
        <w:rPr>
          <w:rFonts w:asciiTheme="majorBidi" w:hAnsiTheme="majorBidi" w:cstheme="majorBidi"/>
          <w:b/>
          <w:bCs/>
          <w:sz w:val="18"/>
          <w:szCs w:val="18"/>
          <w:rtl/>
          <w:lang w:bidi="ar-EG"/>
        </w:rPr>
        <w:t xml:space="preserve"> دار العلم للملايين, 1974م</w:t>
      </w:r>
    </w:p>
    <w:p w:rsidR="00D02129" w:rsidRPr="00D02129" w:rsidRDefault="00D02129" w:rsidP="00D02129">
      <w:pPr>
        <w:numPr>
          <w:ilvl w:val="0"/>
          <w:numId w:val="1"/>
        </w:numPr>
        <w:spacing w:after="120" w:line="240" w:lineRule="auto"/>
        <w:jc w:val="lowKashida"/>
        <w:rPr>
          <w:rFonts w:asciiTheme="majorBidi" w:hAnsiTheme="majorBidi" w:cstheme="majorBidi"/>
          <w:b/>
          <w:bCs/>
          <w:sz w:val="18"/>
          <w:szCs w:val="18"/>
          <w:rtl/>
        </w:rPr>
      </w:pPr>
      <w:r w:rsidRPr="00D02129">
        <w:rPr>
          <w:rFonts w:asciiTheme="majorBidi" w:hAnsiTheme="majorBidi" w:cstheme="majorBidi"/>
          <w:b/>
          <w:bCs/>
          <w:sz w:val="18"/>
          <w:szCs w:val="18"/>
          <w:rtl/>
          <w:lang w:bidi="ar-EG"/>
        </w:rPr>
        <w:t xml:space="preserve">أمجد الطرابلسي، </w:t>
      </w:r>
      <w:r w:rsidRPr="00D02129">
        <w:rPr>
          <w:rFonts w:asciiTheme="majorBidi" w:hAnsiTheme="majorBidi" w:cstheme="majorBidi"/>
          <w:b/>
          <w:bCs/>
          <w:sz w:val="18"/>
          <w:szCs w:val="18"/>
          <w:rtl/>
        </w:rPr>
        <w:t>(نظرة تاريخيّة في حركة التّأليف عند العرب في اللّغة والأدب) ،</w:t>
      </w:r>
      <w:r w:rsidRPr="00D02129">
        <w:rPr>
          <w:rFonts w:asciiTheme="majorBidi" w:hAnsiTheme="majorBidi" w:cstheme="majorBidi"/>
          <w:b/>
          <w:bCs/>
          <w:sz w:val="18"/>
          <w:szCs w:val="18"/>
          <w:rtl/>
          <w:lang w:bidi="ar-EG"/>
        </w:rPr>
        <w:t xml:space="preserve"> مكتبة الفتح، 1976م</w:t>
      </w:r>
    </w:p>
    <w:p w:rsidR="00D02129" w:rsidRPr="00D02129" w:rsidRDefault="00D02129" w:rsidP="00D02129">
      <w:pPr>
        <w:numPr>
          <w:ilvl w:val="0"/>
          <w:numId w:val="1"/>
        </w:numPr>
        <w:spacing w:after="120" w:line="240" w:lineRule="auto"/>
        <w:jc w:val="lowKashida"/>
        <w:rPr>
          <w:rFonts w:asciiTheme="majorBidi" w:hAnsiTheme="majorBidi" w:cstheme="majorBidi"/>
          <w:b/>
          <w:bCs/>
          <w:sz w:val="18"/>
          <w:szCs w:val="18"/>
          <w:rtl/>
        </w:rPr>
      </w:pPr>
      <w:r w:rsidRPr="00D02129">
        <w:rPr>
          <w:rFonts w:asciiTheme="majorBidi" w:hAnsiTheme="majorBidi" w:cstheme="majorBidi"/>
          <w:b/>
          <w:bCs/>
          <w:sz w:val="18"/>
          <w:szCs w:val="18"/>
          <w:rtl/>
          <w:lang w:bidi="ar-EG"/>
        </w:rPr>
        <w:t xml:space="preserve">أحمد مختار عمر، </w:t>
      </w:r>
      <w:r w:rsidRPr="00D02129">
        <w:rPr>
          <w:rFonts w:asciiTheme="majorBidi" w:hAnsiTheme="majorBidi" w:cstheme="majorBidi"/>
          <w:b/>
          <w:bCs/>
          <w:sz w:val="18"/>
          <w:szCs w:val="18"/>
          <w:rtl/>
        </w:rPr>
        <w:t>(أخطاء اللّغة العربيّة المعاصرة) ،</w:t>
      </w:r>
      <w:r w:rsidRPr="00D02129">
        <w:rPr>
          <w:rFonts w:asciiTheme="majorBidi" w:hAnsiTheme="majorBidi" w:cstheme="majorBidi"/>
          <w:b/>
          <w:bCs/>
          <w:sz w:val="18"/>
          <w:szCs w:val="18"/>
          <w:rtl/>
          <w:lang w:bidi="ar-EG"/>
        </w:rPr>
        <w:t xml:space="preserve"> بيروت، عالم الكتب, 1991م</w:t>
      </w:r>
    </w:p>
    <w:p w:rsidR="00D02129" w:rsidRPr="00D02129" w:rsidRDefault="00D02129" w:rsidP="00D02129">
      <w:pPr>
        <w:numPr>
          <w:ilvl w:val="0"/>
          <w:numId w:val="1"/>
        </w:numPr>
        <w:spacing w:after="120" w:line="240" w:lineRule="auto"/>
        <w:jc w:val="lowKashida"/>
        <w:rPr>
          <w:rFonts w:asciiTheme="majorBidi" w:hAnsiTheme="majorBidi" w:cstheme="majorBidi"/>
          <w:b/>
          <w:bCs/>
          <w:sz w:val="18"/>
          <w:szCs w:val="18"/>
          <w:rtl/>
        </w:rPr>
      </w:pPr>
      <w:r w:rsidRPr="00D02129">
        <w:rPr>
          <w:rFonts w:asciiTheme="majorBidi" w:hAnsiTheme="majorBidi" w:cstheme="majorBidi"/>
          <w:b/>
          <w:bCs/>
          <w:sz w:val="18"/>
          <w:szCs w:val="18"/>
          <w:rtl/>
          <w:lang w:bidi="ar-EG"/>
        </w:rPr>
        <w:t xml:space="preserve">فتحي الخولي،  </w:t>
      </w:r>
      <w:r w:rsidRPr="00D02129">
        <w:rPr>
          <w:rFonts w:asciiTheme="majorBidi" w:hAnsiTheme="majorBidi" w:cstheme="majorBidi"/>
          <w:b/>
          <w:bCs/>
          <w:sz w:val="18"/>
          <w:szCs w:val="18"/>
          <w:rtl/>
        </w:rPr>
        <w:t>(دليل الإملاء وقواعد الكتابة العربيّة) ،</w:t>
      </w:r>
      <w:r w:rsidRPr="00D02129">
        <w:rPr>
          <w:rFonts w:asciiTheme="majorBidi" w:hAnsiTheme="majorBidi" w:cstheme="majorBidi"/>
          <w:b/>
          <w:bCs/>
          <w:sz w:val="18"/>
          <w:szCs w:val="18"/>
          <w:rtl/>
          <w:lang w:bidi="ar-EG"/>
        </w:rPr>
        <w:t xml:space="preserve"> القاهرة، مكتبة وهبة، 1973م</w:t>
      </w:r>
    </w:p>
    <w:p w:rsidR="00D02129" w:rsidRPr="00D02129" w:rsidRDefault="00D02129" w:rsidP="00D02129">
      <w:pPr>
        <w:numPr>
          <w:ilvl w:val="0"/>
          <w:numId w:val="1"/>
        </w:numPr>
        <w:spacing w:after="120" w:line="240" w:lineRule="auto"/>
        <w:jc w:val="lowKashida"/>
        <w:rPr>
          <w:rFonts w:asciiTheme="majorBidi" w:hAnsiTheme="majorBidi" w:cstheme="majorBidi"/>
          <w:b/>
          <w:bCs/>
          <w:sz w:val="18"/>
          <w:szCs w:val="18"/>
        </w:rPr>
      </w:pPr>
      <w:r w:rsidRPr="00D02129">
        <w:rPr>
          <w:rFonts w:asciiTheme="majorBidi" w:hAnsiTheme="majorBidi" w:cstheme="majorBidi"/>
          <w:b/>
          <w:bCs/>
          <w:sz w:val="18"/>
          <w:szCs w:val="18"/>
          <w:rtl/>
          <w:lang w:bidi="ar-EG"/>
        </w:rPr>
        <w:t xml:space="preserve">محمد مندور، </w:t>
      </w:r>
      <w:r w:rsidRPr="00D02129">
        <w:rPr>
          <w:rFonts w:asciiTheme="majorBidi" w:hAnsiTheme="majorBidi" w:cstheme="majorBidi"/>
          <w:b/>
          <w:bCs/>
          <w:sz w:val="18"/>
          <w:szCs w:val="18"/>
          <w:rtl/>
        </w:rPr>
        <w:t xml:space="preserve">(في الميزان الجديد) </w:t>
      </w:r>
      <w:r w:rsidRPr="00D02129">
        <w:rPr>
          <w:rFonts w:asciiTheme="majorBidi" w:hAnsiTheme="majorBidi" w:cstheme="majorBidi"/>
          <w:b/>
          <w:bCs/>
          <w:sz w:val="18"/>
          <w:szCs w:val="18"/>
          <w:rtl/>
          <w:lang w:bidi="ar-EG"/>
        </w:rPr>
        <w:t>، القاهرة، دار  نهضة مصر للطباعة والنّشر, 1944م.</w:t>
      </w:r>
    </w:p>
    <w:p w:rsidR="00D02129" w:rsidRDefault="00D02129" w:rsidP="00D02129">
      <w:pPr>
        <w:pStyle w:val="a3"/>
        <w:bidi/>
        <w:spacing w:before="0" w:beforeAutospacing="0" w:after="120" w:afterAutospacing="0" w:line="500" w:lineRule="exact"/>
        <w:jc w:val="lowKashida"/>
        <w:rPr>
          <w:rFonts w:asciiTheme="majorBidi" w:hAnsiTheme="majorBidi" w:cstheme="majorBidi"/>
          <w:sz w:val="32"/>
          <w:szCs w:val="32"/>
          <w:rtl/>
        </w:rPr>
        <w:sectPr w:rsidR="00D02129" w:rsidSect="00D02129">
          <w:type w:val="continuous"/>
          <w:pgSz w:w="11906" w:h="16838"/>
          <w:pgMar w:top="964" w:right="1021" w:bottom="964" w:left="1021" w:header="709" w:footer="709" w:gutter="0"/>
          <w:cols w:num="2" w:space="708"/>
          <w:bidi/>
          <w:rtlGutter/>
          <w:docGrid w:linePitch="360"/>
        </w:sectPr>
      </w:pPr>
    </w:p>
    <w:p w:rsidR="00D02129" w:rsidRPr="00D02129" w:rsidRDefault="00D02129" w:rsidP="00D02129">
      <w:pPr>
        <w:pStyle w:val="a3"/>
        <w:bidi/>
        <w:spacing w:before="0" w:beforeAutospacing="0" w:after="120" w:afterAutospacing="0" w:line="500" w:lineRule="exact"/>
        <w:jc w:val="lowKashida"/>
        <w:rPr>
          <w:rFonts w:asciiTheme="majorBidi" w:hAnsiTheme="majorBidi" w:cstheme="majorBidi"/>
          <w:sz w:val="32"/>
          <w:szCs w:val="32"/>
          <w:rtl/>
        </w:rPr>
      </w:pPr>
    </w:p>
    <w:p w:rsidR="00D02129" w:rsidRPr="001D6929" w:rsidRDefault="00D02129" w:rsidP="00E266DB">
      <w:pPr>
        <w:spacing w:after="120" w:line="520" w:lineRule="exact"/>
        <w:jc w:val="lowKashida"/>
        <w:rPr>
          <w:rFonts w:asciiTheme="majorBidi" w:hAnsiTheme="majorBidi" w:cstheme="majorBidi"/>
          <w:sz w:val="32"/>
          <w:szCs w:val="32"/>
          <w:rtl/>
        </w:rPr>
      </w:pPr>
    </w:p>
    <w:p w:rsidR="00E266DB" w:rsidRPr="00E266DB" w:rsidRDefault="00E266DB" w:rsidP="00E266DB">
      <w:pPr>
        <w:rPr>
          <w:i/>
          <w:iCs/>
        </w:rPr>
      </w:pPr>
    </w:p>
    <w:sectPr w:rsidR="00E266DB" w:rsidRPr="00E266DB" w:rsidSect="00D02129">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F11B5"/>
    <w:multiLevelType w:val="hybridMultilevel"/>
    <w:tmpl w:val="2564D266"/>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6254D8"/>
    <w:multiLevelType w:val="hybridMultilevel"/>
    <w:tmpl w:val="34B21940"/>
    <w:lvl w:ilvl="0" w:tplc="130AB614">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displayVerticalDrawingGridEvery w:val="2"/>
  <w:characterSpacingControl w:val="doNotCompress"/>
  <w:compat/>
  <w:rsids>
    <w:rsidRoot w:val="00E266DB"/>
    <w:rsid w:val="002447D6"/>
    <w:rsid w:val="00514443"/>
    <w:rsid w:val="0051542B"/>
    <w:rsid w:val="00547BCC"/>
    <w:rsid w:val="008763F5"/>
    <w:rsid w:val="009556CB"/>
    <w:rsid w:val="00A20E3C"/>
    <w:rsid w:val="00BF7572"/>
    <w:rsid w:val="00D02129"/>
    <w:rsid w:val="00E266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02129"/>
    <w:pPr>
      <w:bidi w:val="0"/>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rsid w:val="00D0212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021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3</cp:revision>
  <dcterms:created xsi:type="dcterms:W3CDTF">2013-06-12T08:35:00Z</dcterms:created>
  <dcterms:modified xsi:type="dcterms:W3CDTF">2013-06-17T11:08:00Z</dcterms:modified>
</cp:coreProperties>
</file>