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C90" w:rsidRPr="002632FC" w:rsidRDefault="00A20C90" w:rsidP="002632FC">
      <w:pPr>
        <w:spacing w:line="240" w:lineRule="auto"/>
        <w:jc w:val="center"/>
        <w:rPr>
          <w:i/>
          <w:iCs/>
          <w:rtl/>
        </w:rPr>
      </w:pPr>
      <w:r w:rsidRPr="00A20C90">
        <w:rPr>
          <w:rFonts w:asciiTheme="majorBidi" w:eastAsia="Calibri" w:hAnsiTheme="majorBidi" w:cstheme="majorBidi"/>
          <w:i/>
          <w:iCs/>
          <w:sz w:val="48"/>
          <w:szCs w:val="48"/>
          <w:rtl/>
        </w:rPr>
        <w:t>الفائدة من تقديم المسند إليه على المسند</w:t>
      </w:r>
      <w:r w:rsidR="002632FC">
        <w:rPr>
          <w:rFonts w:hint="cs"/>
          <w:i/>
          <w:iCs/>
          <w:rtl/>
        </w:rPr>
        <w:t xml:space="preserve"> </w:t>
      </w:r>
      <w:r w:rsidRPr="00A20C90">
        <w:rPr>
          <w:rFonts w:hint="cs"/>
          <w:i/>
          <w:iCs/>
          <w:sz w:val="48"/>
          <w:szCs w:val="48"/>
          <w:rtl/>
        </w:rPr>
        <w:t>(2)</w:t>
      </w:r>
    </w:p>
    <w:p w:rsidR="00A20C90" w:rsidRPr="00294A2D" w:rsidRDefault="00A20C90" w:rsidP="00A20C90">
      <w:pPr>
        <w:spacing w:line="240" w:lineRule="auto"/>
        <w:jc w:val="center"/>
        <w:rPr>
          <w:rFonts w:asciiTheme="majorBidi" w:hAnsiTheme="majorBidi" w:cstheme="majorBidi"/>
          <w:i/>
          <w:iCs/>
          <w:sz w:val="28"/>
          <w:szCs w:val="28"/>
          <w:rtl/>
        </w:rPr>
      </w:pPr>
      <w:r>
        <w:rPr>
          <w:rFonts w:asciiTheme="majorBidi" w:hAnsiTheme="majorBidi" w:cstheme="majorBidi"/>
          <w:i/>
          <w:iCs/>
          <w:sz w:val="28"/>
          <w:szCs w:val="28"/>
          <w:rtl/>
        </w:rPr>
        <w:t xml:space="preserve">بحث  فى </w:t>
      </w:r>
      <w:r>
        <w:rPr>
          <w:rFonts w:asciiTheme="majorBidi" w:hAnsiTheme="majorBidi" w:cstheme="majorBidi" w:hint="cs"/>
          <w:i/>
          <w:iCs/>
          <w:sz w:val="28"/>
          <w:szCs w:val="28"/>
          <w:rtl/>
        </w:rPr>
        <w:t>دراسات بلاغيه</w:t>
      </w:r>
    </w:p>
    <w:p w:rsidR="00A20C90" w:rsidRPr="00294A2D" w:rsidRDefault="00A20C90" w:rsidP="00633118">
      <w:pPr>
        <w:spacing w:line="240" w:lineRule="auto"/>
        <w:jc w:val="center"/>
        <w:rPr>
          <w:rFonts w:asciiTheme="majorBidi" w:hAnsiTheme="majorBidi" w:cstheme="majorBidi"/>
        </w:rPr>
      </w:pPr>
      <w:r w:rsidRPr="00294A2D">
        <w:rPr>
          <w:rFonts w:asciiTheme="majorBidi" w:hAnsiTheme="majorBidi" w:cstheme="majorBidi"/>
          <w:rtl/>
        </w:rPr>
        <w:t xml:space="preserve">إعداد أ/ </w:t>
      </w:r>
      <w:r w:rsidR="00633118" w:rsidRPr="00633118">
        <w:rPr>
          <w:rFonts w:asciiTheme="majorBidi" w:hAnsiTheme="majorBidi" w:cstheme="majorBidi" w:hint="cs"/>
          <w:i/>
          <w:iCs/>
          <w:rtl/>
        </w:rPr>
        <w:t>ميريهان مجدي محمود</w:t>
      </w:r>
    </w:p>
    <w:p w:rsidR="00A20C90" w:rsidRPr="0089766D" w:rsidRDefault="00A20C90" w:rsidP="00A20C90">
      <w:pPr>
        <w:spacing w:line="240" w:lineRule="auto"/>
        <w:jc w:val="center"/>
        <w:rPr>
          <w:rFonts w:asciiTheme="majorBidi" w:hAnsiTheme="majorBidi" w:cstheme="majorBidi"/>
          <w:i/>
          <w:iCs/>
          <w:sz w:val="20"/>
          <w:szCs w:val="20"/>
        </w:rPr>
      </w:pPr>
      <w:r w:rsidRPr="0089766D">
        <w:rPr>
          <w:rFonts w:asciiTheme="majorBidi" w:hAnsiTheme="majorBidi" w:cstheme="majorBidi"/>
          <w:i/>
          <w:iCs/>
          <w:sz w:val="20"/>
          <w:szCs w:val="20"/>
          <w:rtl/>
        </w:rPr>
        <w:t>قسم اللغة العربية</w:t>
      </w:r>
    </w:p>
    <w:p w:rsidR="00A20C90" w:rsidRPr="0089766D" w:rsidRDefault="00A20C90" w:rsidP="00A20C90">
      <w:pPr>
        <w:spacing w:line="240" w:lineRule="auto"/>
        <w:jc w:val="center"/>
        <w:rPr>
          <w:rFonts w:asciiTheme="majorBidi" w:hAnsiTheme="majorBidi" w:cstheme="majorBidi"/>
          <w:i/>
          <w:iCs/>
          <w:sz w:val="20"/>
          <w:szCs w:val="20"/>
        </w:rPr>
      </w:pPr>
      <w:r w:rsidRPr="0089766D">
        <w:rPr>
          <w:rFonts w:asciiTheme="majorBidi" w:hAnsiTheme="majorBidi" w:cstheme="majorBidi"/>
          <w:i/>
          <w:iCs/>
          <w:sz w:val="20"/>
          <w:szCs w:val="20"/>
          <w:rtl/>
        </w:rPr>
        <w:t>كلية اللغات – جامعة المدينة العالمية</w:t>
      </w:r>
    </w:p>
    <w:p w:rsidR="00A20C90" w:rsidRPr="0089766D" w:rsidRDefault="00A20C90" w:rsidP="00A20C90">
      <w:pPr>
        <w:spacing w:line="240" w:lineRule="auto"/>
        <w:jc w:val="center"/>
        <w:rPr>
          <w:rFonts w:asciiTheme="majorBidi" w:hAnsiTheme="majorBidi" w:cstheme="majorBidi"/>
          <w:i/>
          <w:iCs/>
          <w:sz w:val="20"/>
          <w:szCs w:val="20"/>
          <w:rtl/>
        </w:rPr>
      </w:pPr>
      <w:r w:rsidRPr="0089766D">
        <w:rPr>
          <w:rFonts w:asciiTheme="majorBidi" w:hAnsiTheme="majorBidi" w:cstheme="majorBidi"/>
          <w:i/>
          <w:iCs/>
          <w:sz w:val="20"/>
          <w:szCs w:val="20"/>
          <w:rtl/>
        </w:rPr>
        <w:t>شاه علم – ماليزيا</w:t>
      </w:r>
    </w:p>
    <w:p w:rsidR="00A20C90" w:rsidRPr="0089766D" w:rsidRDefault="00633118" w:rsidP="00A20C90">
      <w:pPr>
        <w:spacing w:line="240" w:lineRule="auto"/>
        <w:jc w:val="center"/>
        <w:rPr>
          <w:rFonts w:asciiTheme="majorBidi" w:hAnsiTheme="majorBidi" w:cstheme="majorBidi"/>
          <w:i/>
          <w:iCs/>
          <w:sz w:val="20"/>
          <w:szCs w:val="20"/>
        </w:rPr>
      </w:pPr>
      <w:r w:rsidRPr="00633118">
        <w:rPr>
          <w:rFonts w:asciiTheme="majorBidi" w:hAnsiTheme="majorBidi" w:cstheme="majorBidi"/>
          <w:i/>
          <w:iCs/>
          <w:sz w:val="20"/>
          <w:szCs w:val="20"/>
        </w:rPr>
        <w:t>mirihan@mediu.ws</w:t>
      </w:r>
    </w:p>
    <w:p w:rsidR="00A20C90" w:rsidRDefault="00A20C90" w:rsidP="00A20C90">
      <w:pPr>
        <w:spacing w:after="120" w:line="240" w:lineRule="auto"/>
        <w:jc w:val="lowKashida"/>
        <w:rPr>
          <w:rFonts w:asciiTheme="majorBidi" w:hAnsiTheme="majorBidi" w:cstheme="majorBidi"/>
          <w:b/>
          <w:bCs/>
          <w:sz w:val="18"/>
          <w:szCs w:val="18"/>
          <w:rtl/>
          <w:lang w:bidi="ar-EG"/>
        </w:rPr>
        <w:sectPr w:rsidR="00A20C90" w:rsidSect="00BF7572">
          <w:pgSz w:w="11906" w:h="16838"/>
          <w:pgMar w:top="964" w:right="1021" w:bottom="964" w:left="1021" w:header="709" w:footer="709" w:gutter="0"/>
          <w:cols w:space="708"/>
          <w:bidi/>
          <w:rtlGutter/>
          <w:docGrid w:linePitch="360"/>
        </w:sectPr>
      </w:pPr>
    </w:p>
    <w:p w:rsidR="00A20C90" w:rsidRPr="00A20C90" w:rsidRDefault="00A20C90" w:rsidP="00A20C90">
      <w:pPr>
        <w:spacing w:after="120" w:line="240" w:lineRule="auto"/>
        <w:jc w:val="lowKashida"/>
        <w:rPr>
          <w:rFonts w:asciiTheme="majorBidi" w:hAnsiTheme="majorBidi" w:cstheme="majorBidi"/>
          <w:b/>
          <w:bCs/>
          <w:sz w:val="18"/>
          <w:szCs w:val="18"/>
          <w:rtl/>
        </w:rPr>
      </w:pPr>
      <w:r w:rsidRPr="00A20C90">
        <w:rPr>
          <w:rFonts w:asciiTheme="majorBidi" w:hAnsiTheme="majorBidi" w:cstheme="majorBidi"/>
          <w:b/>
          <w:bCs/>
          <w:sz w:val="18"/>
          <w:szCs w:val="18"/>
          <w:rtl/>
        </w:rPr>
        <w:lastRenderedPageBreak/>
        <w:t xml:space="preserve">خلاصة ـــ هذا البحث يبحث في </w:t>
      </w:r>
      <w:r w:rsidRPr="00A20C90">
        <w:rPr>
          <w:rFonts w:asciiTheme="majorBidi" w:eastAsia="Calibri" w:hAnsiTheme="majorBidi" w:cstheme="majorBidi"/>
          <w:b/>
          <w:bCs/>
          <w:sz w:val="18"/>
          <w:szCs w:val="18"/>
          <w:rtl/>
        </w:rPr>
        <w:t>الفائدة من تقديم المسند إليه على المسند</w:t>
      </w:r>
    </w:p>
    <w:p w:rsidR="00A20C90" w:rsidRPr="00A20C90" w:rsidRDefault="00A20C90" w:rsidP="00A20C90">
      <w:pPr>
        <w:spacing w:after="120" w:line="240" w:lineRule="auto"/>
        <w:jc w:val="lowKashida"/>
        <w:rPr>
          <w:rFonts w:asciiTheme="majorBidi" w:hAnsiTheme="majorBidi" w:cstheme="majorBidi"/>
          <w:b/>
          <w:bCs/>
          <w:sz w:val="18"/>
          <w:szCs w:val="18"/>
          <w:rtl/>
        </w:rPr>
      </w:pPr>
      <w:r w:rsidRPr="00A20C90">
        <w:rPr>
          <w:rFonts w:asciiTheme="majorBidi" w:hAnsiTheme="majorBidi" w:cstheme="majorBidi"/>
          <w:b/>
          <w:bCs/>
          <w:sz w:val="18"/>
          <w:szCs w:val="18"/>
          <w:rtl/>
        </w:rPr>
        <w:t xml:space="preserve">الكلمات المفتاحية : </w:t>
      </w:r>
      <w:r w:rsidRPr="00A20C90">
        <w:rPr>
          <w:rFonts w:asciiTheme="majorBidi" w:hAnsiTheme="majorBidi" w:cstheme="majorBidi"/>
          <w:b/>
          <w:bCs/>
          <w:sz w:val="18"/>
          <w:szCs w:val="18"/>
          <w:rtl/>
          <w:lang w:bidi="ar-EG"/>
        </w:rPr>
        <w:t xml:space="preserve">الغالب </w:t>
      </w:r>
      <w:r w:rsidRPr="00A20C90">
        <w:rPr>
          <w:rFonts w:asciiTheme="majorBidi" w:hAnsiTheme="majorBidi" w:cstheme="majorBidi"/>
          <w:b/>
          <w:bCs/>
          <w:sz w:val="18"/>
          <w:szCs w:val="18"/>
          <w:rtl/>
        </w:rPr>
        <w:t>،</w:t>
      </w:r>
      <w:r w:rsidRPr="00A20C90">
        <w:rPr>
          <w:rFonts w:asciiTheme="majorBidi" w:hAnsiTheme="majorBidi" w:cstheme="majorBidi"/>
          <w:b/>
          <w:bCs/>
          <w:sz w:val="18"/>
          <w:szCs w:val="18"/>
          <w:rtl/>
          <w:lang w:bidi="ar-EG"/>
        </w:rPr>
        <w:t xml:space="preserve"> المسند إليه.</w:t>
      </w:r>
      <w:r w:rsidRPr="00A20C90">
        <w:rPr>
          <w:rFonts w:asciiTheme="majorBidi" w:hAnsiTheme="majorBidi" w:cstheme="majorBidi"/>
          <w:b/>
          <w:bCs/>
          <w:sz w:val="18"/>
          <w:szCs w:val="18"/>
          <w:rtl/>
        </w:rPr>
        <w:t xml:space="preserve"> ،</w:t>
      </w:r>
      <w:r w:rsidRPr="00A20C90">
        <w:rPr>
          <w:rFonts w:asciiTheme="majorBidi" w:hAnsiTheme="majorBidi" w:cstheme="majorBidi"/>
          <w:b/>
          <w:bCs/>
          <w:sz w:val="18"/>
          <w:szCs w:val="18"/>
          <w:rtl/>
          <w:lang w:bidi="ar-EG"/>
        </w:rPr>
        <w:t xml:space="preserve"> إفادة التأكيد</w:t>
      </w:r>
    </w:p>
    <w:p w:rsidR="00A20C90" w:rsidRPr="00A20C90" w:rsidRDefault="00A20C90" w:rsidP="00A20C90">
      <w:pPr>
        <w:pStyle w:val="a5"/>
        <w:numPr>
          <w:ilvl w:val="0"/>
          <w:numId w:val="2"/>
        </w:numPr>
        <w:spacing w:after="120" w:line="240" w:lineRule="auto"/>
        <w:jc w:val="center"/>
        <w:rPr>
          <w:rFonts w:asciiTheme="majorBidi" w:hAnsiTheme="majorBidi" w:cstheme="majorBidi"/>
          <w:b/>
          <w:bCs/>
          <w:sz w:val="18"/>
          <w:szCs w:val="18"/>
          <w:rtl/>
        </w:rPr>
      </w:pPr>
      <w:r w:rsidRPr="00A20C90">
        <w:rPr>
          <w:rFonts w:asciiTheme="majorBidi" w:hAnsiTheme="majorBidi" w:cstheme="majorBidi"/>
          <w:b/>
          <w:bCs/>
          <w:sz w:val="18"/>
          <w:szCs w:val="18"/>
          <w:rtl/>
        </w:rPr>
        <w:t>المقدمة</w:t>
      </w:r>
    </w:p>
    <w:p w:rsidR="00A20C90" w:rsidRPr="00A20C90" w:rsidRDefault="00A20C90" w:rsidP="00A20C90">
      <w:pPr>
        <w:pStyle w:val="a3"/>
        <w:bidi/>
        <w:spacing w:before="0" w:beforeAutospacing="0" w:after="120" w:afterAutospacing="0"/>
        <w:jc w:val="lowKashida"/>
        <w:rPr>
          <w:rFonts w:asciiTheme="majorBidi" w:hAnsiTheme="majorBidi" w:cstheme="majorBidi"/>
          <w:b/>
          <w:bCs/>
          <w:sz w:val="18"/>
          <w:szCs w:val="18"/>
          <w:rtl/>
        </w:rPr>
      </w:pPr>
      <w:r w:rsidRPr="00A20C90">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A20C90">
        <w:rPr>
          <w:rFonts w:asciiTheme="majorBidi" w:eastAsia="Calibri" w:hAnsiTheme="majorBidi" w:cstheme="majorBidi"/>
          <w:b/>
          <w:bCs/>
          <w:sz w:val="18"/>
          <w:szCs w:val="18"/>
          <w:rtl/>
        </w:rPr>
        <w:t>الفائدة من تقديم المسند إليه على المسند</w:t>
      </w:r>
    </w:p>
    <w:p w:rsidR="00A20C90" w:rsidRPr="00A20C90" w:rsidRDefault="00A20C90" w:rsidP="00A20C90">
      <w:pPr>
        <w:pStyle w:val="a3"/>
        <w:numPr>
          <w:ilvl w:val="0"/>
          <w:numId w:val="2"/>
        </w:numPr>
        <w:bidi/>
        <w:spacing w:before="0" w:beforeAutospacing="0" w:after="120" w:afterAutospacing="0"/>
        <w:jc w:val="center"/>
        <w:rPr>
          <w:rFonts w:asciiTheme="majorBidi" w:hAnsiTheme="majorBidi" w:cstheme="majorBidi"/>
          <w:b/>
          <w:bCs/>
          <w:sz w:val="18"/>
          <w:szCs w:val="18"/>
          <w:rtl/>
        </w:rPr>
      </w:pPr>
      <w:r w:rsidRPr="00A20C90">
        <w:rPr>
          <w:rFonts w:asciiTheme="majorBidi" w:hAnsiTheme="majorBidi" w:cstheme="majorBidi"/>
          <w:b/>
          <w:bCs/>
          <w:sz w:val="18"/>
          <w:szCs w:val="18"/>
          <w:rtl/>
        </w:rPr>
        <w:t>عنوان المقال</w:t>
      </w:r>
    </w:p>
    <w:p w:rsidR="00A20C90" w:rsidRPr="00A20C90" w:rsidRDefault="00A20C90" w:rsidP="00A20C90">
      <w:pPr>
        <w:spacing w:after="120" w:line="240" w:lineRule="auto"/>
        <w:jc w:val="lowKashida"/>
        <w:rPr>
          <w:rFonts w:asciiTheme="majorBidi" w:hAnsiTheme="majorBidi" w:cstheme="majorBidi"/>
          <w:b/>
          <w:bCs/>
          <w:sz w:val="18"/>
          <w:szCs w:val="18"/>
          <w:rtl/>
        </w:rPr>
      </w:pPr>
      <w:r w:rsidRPr="00A20C90">
        <w:rPr>
          <w:rFonts w:asciiTheme="majorBidi" w:hAnsiTheme="majorBidi" w:cstheme="majorBidi"/>
          <w:b/>
          <w:bCs/>
          <w:sz w:val="18"/>
          <w:szCs w:val="18"/>
          <w:rtl/>
          <w:lang w:bidi="ar-EG"/>
        </w:rPr>
        <w:t>وهذا لا يمنع أن يكون الغالب في مثل هذا الأسلوب؛ إفادة التأكيد، وتقوية الحكم، عكس ما سبق من صورة الفعل المنفي، حينما يتقدم عليه المسند إليه.</w:t>
      </w:r>
    </w:p>
    <w:p w:rsidR="00A20C90" w:rsidRPr="00A20C90" w:rsidRDefault="00A20C90" w:rsidP="00A20C90">
      <w:pPr>
        <w:spacing w:after="120" w:line="240" w:lineRule="auto"/>
        <w:jc w:val="both"/>
        <w:rPr>
          <w:rFonts w:cs="AL-Hotham"/>
          <w:b/>
          <w:bCs/>
          <w:sz w:val="18"/>
          <w:szCs w:val="18"/>
          <w:rtl/>
        </w:rPr>
      </w:pPr>
      <w:r w:rsidRPr="00A20C90">
        <w:rPr>
          <w:rFonts w:asciiTheme="majorBidi" w:hAnsiTheme="majorBidi" w:cstheme="majorBidi"/>
          <w:b/>
          <w:bCs/>
          <w:sz w:val="18"/>
          <w:szCs w:val="18"/>
          <w:rtl/>
          <w:lang w:bidi="ar-EG"/>
        </w:rPr>
        <w:t xml:space="preserve">وقلنا مرارًا أن هذا قائم على الأغلبية أو الأكثرية، حتى لا تلزم القاعدة جميع ما نقرأ في كلام الله </w:t>
      </w:r>
      <w:r w:rsidRPr="00A20C90">
        <w:rPr>
          <w:rFonts w:asciiTheme="majorBidi" w:hAnsiTheme="majorBidi" w:cstheme="majorBidi"/>
          <w:b/>
          <w:bCs/>
          <w:position w:val="-4"/>
          <w:sz w:val="18"/>
          <w:szCs w:val="18"/>
          <w:lang w:bidi="ar-EG"/>
        </w:rPr>
        <w:t></w:t>
      </w:r>
      <w:r w:rsidRPr="00A20C90">
        <w:rPr>
          <w:rFonts w:asciiTheme="majorBidi" w:hAnsiTheme="majorBidi" w:cstheme="majorBidi"/>
          <w:b/>
          <w:bCs/>
          <w:sz w:val="18"/>
          <w:szCs w:val="18"/>
          <w:rtl/>
          <w:lang w:bidi="ar-EG"/>
        </w:rPr>
        <w:t xml:space="preserve"> عند تقديم المسند إليه في الإثبات، واقرأ قوله تعالى:</w:t>
      </w:r>
      <w:r w:rsidRPr="00A20C90">
        <w:rPr>
          <w:rFonts w:cs="AL-Hotham"/>
          <w:b/>
          <w:bCs/>
          <w:sz w:val="18"/>
          <w:szCs w:val="18"/>
          <w:rtl/>
          <w:lang w:bidi="ar-EG"/>
        </w:rPr>
        <w:t xml:space="preserve"> </w:t>
      </w:r>
      <w:r w:rsidRPr="00A20C90">
        <w:rPr>
          <w:rFonts w:cs="DecoType Thuluth"/>
          <w:b/>
          <w:bCs/>
          <w:color w:val="008000"/>
          <w:sz w:val="18"/>
          <w:szCs w:val="18"/>
          <w:rtl/>
        </w:rPr>
        <w:t>{</w:t>
      </w:r>
      <w:r w:rsidRPr="00A20C90">
        <w:rPr>
          <w:rFonts w:ascii="QCF_P203" w:hAnsi="QCF_P203" w:cs="QCF_P203"/>
          <w:b/>
          <w:bCs/>
          <w:color w:val="008000"/>
          <w:sz w:val="18"/>
          <w:szCs w:val="18"/>
          <w:rtl/>
        </w:rPr>
        <w:t>ﭬ ﭭ ﭮ ﭯ ﭰ ﭱ ﭲ ﭳ ﭴ ﭵ ﭶ ﭷ ﭸ ﭹ ﭺ ﭻ ﭼ ﭽ ﭾ ﭿ ﮀ ﮁ ﮂ ﮃ ﮄ ﮅ</w:t>
      </w:r>
      <w:r w:rsidRPr="00A20C90">
        <w:rPr>
          <w:rFonts w:cs="DecoType Thuluth"/>
          <w:b/>
          <w:bCs/>
          <w:color w:val="008000"/>
          <w:sz w:val="18"/>
          <w:szCs w:val="18"/>
          <w:rtl/>
        </w:rPr>
        <w:t>}</w:t>
      </w:r>
      <w:r w:rsidRPr="00A20C90">
        <w:rPr>
          <w:rFonts w:cs="AL-Hotham"/>
          <w:b/>
          <w:bCs/>
          <w:color w:val="008000"/>
          <w:sz w:val="18"/>
          <w:szCs w:val="18"/>
          <w:rtl/>
        </w:rPr>
        <w:t xml:space="preserve"> </w:t>
      </w:r>
      <w:r w:rsidRPr="00A20C90">
        <w:rPr>
          <w:rFonts w:cs="AL-Hotham"/>
          <w:b/>
          <w:bCs/>
          <w:sz w:val="18"/>
          <w:szCs w:val="18"/>
          <w:rtl/>
        </w:rPr>
        <w:t>[التوبة: 101]</w:t>
      </w:r>
      <w:r w:rsidRPr="00A20C90">
        <w:rPr>
          <w:rFonts w:cs="AL-Hotham"/>
          <w:b/>
          <w:bCs/>
          <w:sz w:val="18"/>
          <w:szCs w:val="18"/>
          <w:rtl/>
          <w:lang w:bidi="ar-EG"/>
        </w:rPr>
        <w:t xml:space="preserve">، </w:t>
      </w:r>
      <w:r w:rsidRPr="00A20C90">
        <w:rPr>
          <w:rFonts w:cs="AL-Hotham"/>
          <w:b/>
          <w:bCs/>
          <w:spacing w:val="-4"/>
          <w:sz w:val="18"/>
          <w:szCs w:val="18"/>
          <w:rtl/>
          <w:lang w:bidi="ar-EG"/>
        </w:rPr>
        <w:t xml:space="preserve">وقوله تعالى: </w:t>
      </w:r>
      <w:r w:rsidRPr="00A20C90">
        <w:rPr>
          <w:rFonts w:cs="DecoType Thuluth"/>
          <w:b/>
          <w:bCs/>
          <w:color w:val="008000"/>
          <w:spacing w:val="-4"/>
          <w:sz w:val="18"/>
          <w:szCs w:val="18"/>
          <w:rtl/>
        </w:rPr>
        <w:t>{</w:t>
      </w:r>
      <w:r w:rsidRPr="00A20C90">
        <w:rPr>
          <w:rFonts w:ascii="QCF_P228" w:hAnsi="QCF_P228" w:cs="QCF_P228"/>
          <w:b/>
          <w:bCs/>
          <w:color w:val="008000"/>
          <w:spacing w:val="-4"/>
          <w:sz w:val="18"/>
          <w:szCs w:val="18"/>
          <w:rtl/>
        </w:rPr>
        <w:t>ﯬ ﯭ ﯮ ﯯ ﯰ ﯱ ﯲ ﯳ ﯴ ﯵ ﯶ ﯷ ﯸ ﯹ ﯺ ﯻ ﯼ ﯽ ﯾ ﯿ ﰀ ﰁ ﰂ ﰃ ﰄ ﰅ ﰆ ﰇ ﰈ ﰉ</w:t>
      </w:r>
      <w:r w:rsidRPr="00A20C90">
        <w:rPr>
          <w:rFonts w:cs="DecoType Thuluth"/>
          <w:b/>
          <w:bCs/>
          <w:color w:val="008000"/>
          <w:spacing w:val="-4"/>
          <w:sz w:val="18"/>
          <w:szCs w:val="18"/>
          <w:rtl/>
        </w:rPr>
        <w:t>}</w:t>
      </w:r>
      <w:r w:rsidRPr="00A20C90">
        <w:rPr>
          <w:rFonts w:cs="AL-Hotham"/>
          <w:b/>
          <w:bCs/>
          <w:color w:val="008000"/>
          <w:spacing w:val="-4"/>
          <w:sz w:val="18"/>
          <w:szCs w:val="18"/>
          <w:rtl/>
        </w:rPr>
        <w:t xml:space="preserve"> </w:t>
      </w:r>
      <w:r w:rsidRPr="00A20C90">
        <w:rPr>
          <w:rFonts w:cs="AL-Hotham"/>
          <w:b/>
          <w:bCs/>
          <w:spacing w:val="-4"/>
          <w:sz w:val="18"/>
          <w:szCs w:val="18"/>
          <w:rtl/>
        </w:rPr>
        <w:t>[هود: 61]</w:t>
      </w:r>
      <w:r w:rsidRPr="00A20C90">
        <w:rPr>
          <w:rFonts w:cs="AL-Hotham"/>
          <w:b/>
          <w:bCs/>
          <w:spacing w:val="-4"/>
          <w:sz w:val="18"/>
          <w:szCs w:val="18"/>
          <w:rtl/>
          <w:lang w:bidi="ar-EG"/>
        </w:rPr>
        <w:t>،</w:t>
      </w:r>
      <w:r w:rsidRPr="00A20C90">
        <w:rPr>
          <w:rFonts w:cs="AL-Hotham"/>
          <w:b/>
          <w:bCs/>
          <w:sz w:val="18"/>
          <w:szCs w:val="18"/>
          <w:rtl/>
          <w:lang w:bidi="ar-EG"/>
        </w:rPr>
        <w:t xml:space="preserve"> وقوله كذلك: </w:t>
      </w:r>
      <w:r w:rsidRPr="00A20C90">
        <w:rPr>
          <w:rFonts w:cs="DecoType Thuluth"/>
          <w:b/>
          <w:bCs/>
          <w:color w:val="008000"/>
          <w:sz w:val="18"/>
          <w:szCs w:val="18"/>
          <w:rtl/>
        </w:rPr>
        <w:t>{</w:t>
      </w:r>
      <w:r w:rsidRPr="00A20C90">
        <w:rPr>
          <w:rFonts w:ascii="QCF_P461" w:hAnsi="QCF_P461" w:cs="QCF_P461"/>
          <w:b/>
          <w:bCs/>
          <w:color w:val="008000"/>
          <w:sz w:val="18"/>
          <w:szCs w:val="18"/>
          <w:rtl/>
        </w:rPr>
        <w:t>ﭨ ﭩ ﭪ ﭫ ﭬ ﭭ ﭮ ﭯ ﭰ ﭱ ﭲ ﭳ ﭴ</w:t>
      </w:r>
      <w:r w:rsidRPr="00A20C90">
        <w:rPr>
          <w:rFonts w:cs="DecoType Thuluth"/>
          <w:b/>
          <w:bCs/>
          <w:color w:val="008000"/>
          <w:sz w:val="18"/>
          <w:szCs w:val="18"/>
          <w:rtl/>
        </w:rPr>
        <w:t>}</w:t>
      </w:r>
      <w:r w:rsidRPr="00A20C90">
        <w:rPr>
          <w:rFonts w:cs="AL-Hotham"/>
          <w:b/>
          <w:bCs/>
          <w:color w:val="008000"/>
          <w:sz w:val="18"/>
          <w:szCs w:val="18"/>
          <w:rtl/>
        </w:rPr>
        <w:t xml:space="preserve"> </w:t>
      </w:r>
      <w:r w:rsidRPr="00A20C90">
        <w:rPr>
          <w:rFonts w:cs="AL-Hotham"/>
          <w:b/>
          <w:bCs/>
          <w:sz w:val="18"/>
          <w:szCs w:val="18"/>
          <w:rtl/>
        </w:rPr>
        <w:t>[الزمر: 23]</w:t>
      </w:r>
      <w:r w:rsidRPr="00A20C90">
        <w:rPr>
          <w:rFonts w:cs="AL-Hotham"/>
          <w:b/>
          <w:bCs/>
          <w:sz w:val="18"/>
          <w:szCs w:val="18"/>
          <w:rtl/>
          <w:lang w:bidi="ar-EG"/>
        </w:rPr>
        <w:t xml:space="preserve">، </w:t>
      </w:r>
      <w:r w:rsidRPr="00A20C90">
        <w:rPr>
          <w:rFonts w:cs="AL-Hotham" w:hint="cs"/>
          <w:b/>
          <w:bCs/>
          <w:sz w:val="18"/>
          <w:szCs w:val="18"/>
          <w:rtl/>
          <w:lang w:bidi="ar-EG"/>
        </w:rPr>
        <w:t>و</w:t>
      </w:r>
      <w:r w:rsidRPr="00A20C90">
        <w:rPr>
          <w:rFonts w:cs="AL-Hotham"/>
          <w:b/>
          <w:bCs/>
          <w:sz w:val="18"/>
          <w:szCs w:val="18"/>
          <w:rtl/>
          <w:lang w:bidi="ar-EG"/>
        </w:rPr>
        <w:t xml:space="preserve">قوله كذلك: </w:t>
      </w:r>
      <w:r w:rsidRPr="00A20C90">
        <w:rPr>
          <w:rFonts w:cs="DecoType Thuluth"/>
          <w:b/>
          <w:bCs/>
          <w:color w:val="008000"/>
          <w:sz w:val="18"/>
          <w:szCs w:val="18"/>
          <w:rtl/>
        </w:rPr>
        <w:t>{</w:t>
      </w:r>
      <w:r w:rsidRPr="00A20C90">
        <w:rPr>
          <w:rFonts w:ascii="QCF_P262" w:hAnsi="QCF_P262" w:cs="QCF_P262"/>
          <w:b/>
          <w:bCs/>
          <w:color w:val="008000"/>
          <w:sz w:val="18"/>
          <w:szCs w:val="18"/>
          <w:rtl/>
        </w:rPr>
        <w:t>ﮗ ﮘ ﮙ ﮚ ﮛ ﮜ ﮝ ﮞ</w:t>
      </w:r>
      <w:r w:rsidRPr="00A20C90">
        <w:rPr>
          <w:rFonts w:cs="DecoType Thuluth"/>
          <w:b/>
          <w:bCs/>
          <w:color w:val="008000"/>
          <w:sz w:val="18"/>
          <w:szCs w:val="18"/>
          <w:rtl/>
        </w:rPr>
        <w:t>}</w:t>
      </w:r>
      <w:r w:rsidRPr="00A20C90">
        <w:rPr>
          <w:rFonts w:cs="AL-Hotham"/>
          <w:b/>
          <w:bCs/>
          <w:color w:val="008000"/>
          <w:sz w:val="18"/>
          <w:szCs w:val="18"/>
          <w:rtl/>
        </w:rPr>
        <w:t xml:space="preserve"> </w:t>
      </w:r>
      <w:r w:rsidRPr="00A20C90">
        <w:rPr>
          <w:rFonts w:cs="AL-Hotham"/>
          <w:b/>
          <w:bCs/>
          <w:sz w:val="18"/>
          <w:szCs w:val="18"/>
          <w:rtl/>
        </w:rPr>
        <w:t>[الحجر: 9]</w:t>
      </w:r>
      <w:r w:rsidRPr="00A20C90">
        <w:rPr>
          <w:rFonts w:cs="AL-Hotham"/>
          <w:b/>
          <w:bCs/>
          <w:sz w:val="18"/>
          <w:szCs w:val="18"/>
          <w:rtl/>
          <w:lang w:bidi="ar-EG"/>
        </w:rPr>
        <w:t xml:space="preserve">، واقرأ في سورة النحل: </w:t>
      </w:r>
      <w:r w:rsidRPr="00A20C90">
        <w:rPr>
          <w:rFonts w:cs="DecoType Thuluth"/>
          <w:b/>
          <w:bCs/>
          <w:color w:val="008000"/>
          <w:sz w:val="18"/>
          <w:szCs w:val="18"/>
          <w:rtl/>
        </w:rPr>
        <w:t>{</w:t>
      </w:r>
      <w:r w:rsidRPr="00A20C90">
        <w:rPr>
          <w:rFonts w:ascii="QCF_P274" w:hAnsi="QCF_P274" w:cs="QCF_P274"/>
          <w:b/>
          <w:bCs/>
          <w:color w:val="008000"/>
          <w:sz w:val="18"/>
          <w:szCs w:val="18"/>
          <w:rtl/>
        </w:rPr>
        <w:t>ﭑ ﭒ ﭓ ﭔ ﭕ ﭖ ﭗ ﭘ ﭙ ﭚ</w:t>
      </w:r>
      <w:r w:rsidRPr="00A20C90">
        <w:rPr>
          <w:rFonts w:cs="DecoType Thuluth"/>
          <w:b/>
          <w:bCs/>
          <w:color w:val="008000"/>
          <w:sz w:val="18"/>
          <w:szCs w:val="18"/>
          <w:rtl/>
        </w:rPr>
        <w:t>}</w:t>
      </w:r>
      <w:r w:rsidRPr="00A20C90">
        <w:rPr>
          <w:rFonts w:cs="AL-Hotham"/>
          <w:b/>
          <w:bCs/>
          <w:color w:val="008000"/>
          <w:sz w:val="18"/>
          <w:szCs w:val="18"/>
          <w:rtl/>
        </w:rPr>
        <w:t xml:space="preserve"> </w:t>
      </w:r>
      <w:r w:rsidRPr="00A20C90">
        <w:rPr>
          <w:rFonts w:cs="AL-Hotham"/>
          <w:b/>
          <w:bCs/>
          <w:sz w:val="18"/>
          <w:szCs w:val="18"/>
          <w:rtl/>
        </w:rPr>
        <w:t xml:space="preserve">[النحل: 65]، </w:t>
      </w:r>
      <w:r w:rsidRPr="00A20C90">
        <w:rPr>
          <w:rFonts w:cs="DecoType Thuluth"/>
          <w:b/>
          <w:bCs/>
          <w:color w:val="008000"/>
          <w:sz w:val="18"/>
          <w:szCs w:val="18"/>
          <w:rtl/>
        </w:rPr>
        <w:t>{</w:t>
      </w:r>
      <w:r w:rsidRPr="00A20C90">
        <w:rPr>
          <w:rFonts w:ascii="QCF_P274" w:hAnsi="QCF_P274" w:cs="QCF_P274"/>
          <w:b/>
          <w:bCs/>
          <w:color w:val="008000"/>
          <w:sz w:val="18"/>
          <w:szCs w:val="18"/>
          <w:rtl/>
        </w:rPr>
        <w:t>ﮰ ﮱ ﯓ ﯔ</w:t>
      </w:r>
      <w:r w:rsidRPr="00A20C90">
        <w:rPr>
          <w:rFonts w:cs="DecoType Thuluth"/>
          <w:b/>
          <w:bCs/>
          <w:color w:val="008000"/>
          <w:sz w:val="18"/>
          <w:szCs w:val="18"/>
          <w:rtl/>
        </w:rPr>
        <w:t>}</w:t>
      </w:r>
      <w:r w:rsidRPr="00A20C90">
        <w:rPr>
          <w:rFonts w:cs="AL-Hotham"/>
          <w:b/>
          <w:bCs/>
          <w:color w:val="008000"/>
          <w:sz w:val="18"/>
          <w:szCs w:val="18"/>
          <w:rtl/>
        </w:rPr>
        <w:t xml:space="preserve"> </w:t>
      </w:r>
      <w:r w:rsidRPr="00A20C90">
        <w:rPr>
          <w:rFonts w:cs="AL-Hotham"/>
          <w:b/>
          <w:bCs/>
          <w:sz w:val="18"/>
          <w:szCs w:val="18"/>
          <w:rtl/>
        </w:rPr>
        <w:t xml:space="preserve">[النحل: 70]، </w:t>
      </w:r>
      <w:r w:rsidRPr="00A20C90">
        <w:rPr>
          <w:rFonts w:cs="DecoType Thuluth"/>
          <w:b/>
          <w:bCs/>
          <w:color w:val="008000"/>
          <w:sz w:val="18"/>
          <w:szCs w:val="18"/>
          <w:rtl/>
        </w:rPr>
        <w:t>{</w:t>
      </w:r>
      <w:r w:rsidRPr="00A20C90">
        <w:rPr>
          <w:rFonts w:ascii="QCF_P274" w:hAnsi="QCF_P274" w:cs="QCF_P274"/>
          <w:b/>
          <w:bCs/>
          <w:color w:val="008000"/>
          <w:sz w:val="18"/>
          <w:szCs w:val="18"/>
          <w:rtl/>
        </w:rPr>
        <w:t>ﯨ ﯩ ﯪ ﯫ ﯬ ﯭ ﯮ</w:t>
      </w:r>
      <w:r w:rsidRPr="00A20C90">
        <w:rPr>
          <w:rFonts w:cs="DecoType Thuluth"/>
          <w:b/>
          <w:bCs/>
          <w:color w:val="008000"/>
          <w:sz w:val="18"/>
          <w:szCs w:val="18"/>
          <w:rtl/>
        </w:rPr>
        <w:t>}</w:t>
      </w:r>
      <w:r w:rsidRPr="00A20C90">
        <w:rPr>
          <w:rFonts w:cs="AL-Hotham"/>
          <w:b/>
          <w:bCs/>
          <w:color w:val="008000"/>
          <w:sz w:val="18"/>
          <w:szCs w:val="18"/>
          <w:rtl/>
        </w:rPr>
        <w:t xml:space="preserve"> </w:t>
      </w:r>
      <w:r w:rsidRPr="00A20C90">
        <w:rPr>
          <w:rFonts w:cs="AL-Hotham"/>
          <w:b/>
          <w:bCs/>
          <w:sz w:val="18"/>
          <w:szCs w:val="18"/>
          <w:rtl/>
        </w:rPr>
        <w:t xml:space="preserve">[النحل: 71]، </w:t>
      </w:r>
      <w:r w:rsidRPr="00A20C90">
        <w:rPr>
          <w:rFonts w:cs="DecoType Thuluth"/>
          <w:b/>
          <w:bCs/>
          <w:color w:val="008000"/>
          <w:sz w:val="18"/>
          <w:szCs w:val="18"/>
          <w:rtl/>
        </w:rPr>
        <w:t>{</w:t>
      </w:r>
      <w:r w:rsidRPr="00A20C90">
        <w:rPr>
          <w:rFonts w:ascii="QCF_P274" w:hAnsi="QCF_P274" w:cs="QCF_P274"/>
          <w:b/>
          <w:bCs/>
          <w:color w:val="008000"/>
          <w:sz w:val="18"/>
          <w:szCs w:val="18"/>
          <w:rtl/>
        </w:rPr>
        <w:t>ﰁ ﰂ ﰃ ﰄ ﰅ ﰆ</w:t>
      </w:r>
      <w:r w:rsidRPr="00A20C90">
        <w:rPr>
          <w:rFonts w:ascii="QCF_P274" w:hAnsi="QCF_P274" w:cs="DecoType Thuluth"/>
          <w:b/>
          <w:bCs/>
          <w:color w:val="008000"/>
          <w:sz w:val="18"/>
          <w:szCs w:val="18"/>
          <w:rtl/>
        </w:rPr>
        <w:t>}</w:t>
      </w:r>
      <w:r w:rsidRPr="00A20C90">
        <w:rPr>
          <w:rFonts w:cs="AL-Hotham"/>
          <w:b/>
          <w:bCs/>
          <w:color w:val="008000"/>
          <w:sz w:val="18"/>
          <w:szCs w:val="18"/>
          <w:rtl/>
        </w:rPr>
        <w:t xml:space="preserve"> </w:t>
      </w:r>
      <w:r w:rsidRPr="00A20C90">
        <w:rPr>
          <w:rFonts w:cs="AL-Hotham"/>
          <w:b/>
          <w:bCs/>
          <w:sz w:val="18"/>
          <w:szCs w:val="18"/>
          <w:rtl/>
        </w:rPr>
        <w:t xml:space="preserve">[النحل: 72]، </w:t>
      </w:r>
      <w:r w:rsidRPr="00A20C90">
        <w:rPr>
          <w:rFonts w:cs="DecoType Thuluth"/>
          <w:b/>
          <w:bCs/>
          <w:color w:val="008000"/>
          <w:sz w:val="18"/>
          <w:szCs w:val="18"/>
          <w:rtl/>
        </w:rPr>
        <w:t>{</w:t>
      </w:r>
      <w:r w:rsidRPr="00A20C90">
        <w:rPr>
          <w:rFonts w:ascii="QCF_P275" w:hAnsi="QCF_P275" w:cs="QCF_P275"/>
          <w:b/>
          <w:bCs/>
          <w:color w:val="008000"/>
          <w:sz w:val="18"/>
          <w:szCs w:val="18"/>
          <w:rtl/>
        </w:rPr>
        <w:t>ﯤ ﯥ ﯦ ﯧ ﯨ ﯩ ﯪ ﯫ</w:t>
      </w:r>
      <w:r w:rsidRPr="00A20C90">
        <w:rPr>
          <w:rFonts w:ascii="QCF_P275" w:hAnsi="QCF_P275" w:cs="DecoType Thuluth"/>
          <w:b/>
          <w:bCs/>
          <w:color w:val="008000"/>
          <w:sz w:val="18"/>
          <w:szCs w:val="18"/>
          <w:rtl/>
        </w:rPr>
        <w:t>}</w:t>
      </w:r>
      <w:r w:rsidRPr="00A20C90">
        <w:rPr>
          <w:rFonts w:cs="AL-Hotham"/>
          <w:b/>
          <w:bCs/>
          <w:color w:val="008000"/>
          <w:sz w:val="18"/>
          <w:szCs w:val="18"/>
          <w:rtl/>
        </w:rPr>
        <w:t xml:space="preserve"> </w:t>
      </w:r>
      <w:r w:rsidRPr="00A20C90">
        <w:rPr>
          <w:rFonts w:cs="AL-Hotham"/>
          <w:b/>
          <w:bCs/>
          <w:sz w:val="18"/>
          <w:szCs w:val="18"/>
          <w:rtl/>
        </w:rPr>
        <w:t xml:space="preserve">[النحل: 78]، </w:t>
      </w:r>
      <w:r w:rsidRPr="00A20C90">
        <w:rPr>
          <w:rFonts w:cs="DecoType Thuluth"/>
          <w:b/>
          <w:bCs/>
          <w:color w:val="008000"/>
          <w:sz w:val="18"/>
          <w:szCs w:val="18"/>
          <w:rtl/>
        </w:rPr>
        <w:t>{</w:t>
      </w:r>
      <w:r w:rsidRPr="00A20C90">
        <w:rPr>
          <w:rFonts w:ascii="QCF_P276" w:hAnsi="QCF_P276" w:cs="QCF_P276"/>
          <w:b/>
          <w:bCs/>
          <w:color w:val="008000"/>
          <w:sz w:val="18"/>
          <w:szCs w:val="18"/>
          <w:rtl/>
        </w:rPr>
        <w:t>ﭑ ﭒ ﭓ ﭔ ﭕ ﭖ ﭗ ﭘ ﭙ ﭚ ﭛ ﭜ</w:t>
      </w:r>
      <w:r w:rsidRPr="00A20C90">
        <w:rPr>
          <w:rFonts w:ascii="QCF_P276" w:hAnsi="QCF_P276" w:cs="DecoType Thuluth"/>
          <w:b/>
          <w:bCs/>
          <w:color w:val="008000"/>
          <w:sz w:val="18"/>
          <w:szCs w:val="18"/>
          <w:rtl/>
        </w:rPr>
        <w:t>}</w:t>
      </w:r>
      <w:r w:rsidRPr="00A20C90">
        <w:rPr>
          <w:rFonts w:cs="AL-Hotham"/>
          <w:b/>
          <w:bCs/>
          <w:color w:val="008000"/>
          <w:sz w:val="18"/>
          <w:szCs w:val="18"/>
          <w:rtl/>
        </w:rPr>
        <w:t xml:space="preserve"> </w:t>
      </w:r>
      <w:r w:rsidRPr="00A20C90">
        <w:rPr>
          <w:rFonts w:cs="AL-Hotham"/>
          <w:b/>
          <w:bCs/>
          <w:sz w:val="18"/>
          <w:szCs w:val="18"/>
          <w:rtl/>
        </w:rPr>
        <w:t xml:space="preserve">[النحل: 80]، </w:t>
      </w:r>
      <w:r w:rsidRPr="00A20C90">
        <w:rPr>
          <w:rFonts w:cs="DecoType Thuluth"/>
          <w:b/>
          <w:bCs/>
          <w:color w:val="008000"/>
          <w:sz w:val="18"/>
          <w:szCs w:val="18"/>
          <w:rtl/>
        </w:rPr>
        <w:t>{</w:t>
      </w:r>
      <w:r w:rsidRPr="00A20C90">
        <w:rPr>
          <w:rFonts w:ascii="QCF_P276" w:hAnsi="QCF_P276" w:cs="QCF_P276"/>
          <w:b/>
          <w:bCs/>
          <w:color w:val="008000"/>
          <w:sz w:val="18"/>
          <w:szCs w:val="18"/>
          <w:rtl/>
        </w:rPr>
        <w:t>ﭬ ﭭ ﭮ ﭯ ﭰ ﭱ ﭲ ﭳ ﭴ ﭵ ﭶ</w:t>
      </w:r>
      <w:r w:rsidRPr="00A20C90">
        <w:rPr>
          <w:rFonts w:ascii="QCF_P276" w:hAnsi="QCF_P276" w:cs="DecoType Thuluth"/>
          <w:b/>
          <w:bCs/>
          <w:color w:val="008000"/>
          <w:sz w:val="18"/>
          <w:szCs w:val="18"/>
          <w:rtl/>
        </w:rPr>
        <w:t>}</w:t>
      </w:r>
      <w:r w:rsidRPr="00A20C90">
        <w:rPr>
          <w:rFonts w:cs="AL-Hotham"/>
          <w:b/>
          <w:bCs/>
          <w:color w:val="008000"/>
          <w:sz w:val="18"/>
          <w:szCs w:val="18"/>
          <w:rtl/>
        </w:rPr>
        <w:t xml:space="preserve"> </w:t>
      </w:r>
      <w:r w:rsidRPr="00A20C90">
        <w:rPr>
          <w:rFonts w:cs="AL-Hotham"/>
          <w:b/>
          <w:bCs/>
          <w:sz w:val="18"/>
          <w:szCs w:val="18"/>
          <w:rtl/>
        </w:rPr>
        <w:t>[النحل: 81].</w:t>
      </w:r>
    </w:p>
    <w:p w:rsidR="00A20C90" w:rsidRPr="00A20C90" w:rsidRDefault="00A20C90" w:rsidP="00A20C90">
      <w:pPr>
        <w:spacing w:after="120" w:line="240" w:lineRule="auto"/>
        <w:jc w:val="lowKashida"/>
        <w:rPr>
          <w:rFonts w:asciiTheme="majorBidi" w:hAnsiTheme="majorBidi" w:cstheme="majorBidi"/>
          <w:b/>
          <w:bCs/>
          <w:sz w:val="18"/>
          <w:szCs w:val="18"/>
          <w:rtl/>
        </w:rPr>
      </w:pPr>
      <w:r w:rsidRPr="00A20C90">
        <w:rPr>
          <w:rFonts w:asciiTheme="majorBidi" w:hAnsiTheme="majorBidi" w:cstheme="majorBidi"/>
          <w:b/>
          <w:bCs/>
          <w:sz w:val="18"/>
          <w:szCs w:val="18"/>
          <w:rtl/>
        </w:rPr>
        <w:t>تجد أن الفعل في كل ما سبق، مختص بالمسند إليه المقدم</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وهو لفظ الجلالة، أو الضمير العائد إليه</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فالتقديم في الآيات الكريمة، قد أفاد الاختصاص</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كما لا يخفى</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وعندما يفيد التقديم الاختصاص؛ فهو يفيد التوكيد لا محالة؛ لأن الاختصاص يستلزم التوكيد</w:t>
      </w:r>
      <w:r w:rsidRPr="00A20C90">
        <w:rPr>
          <w:rFonts w:asciiTheme="majorBidi" w:hAnsiTheme="majorBidi" w:cstheme="majorBidi"/>
          <w:b/>
          <w:bCs/>
          <w:sz w:val="18"/>
          <w:szCs w:val="18"/>
          <w:rtl/>
          <w:lang w:bidi="ar-EG"/>
        </w:rPr>
        <w:t xml:space="preserve">، </w:t>
      </w:r>
      <w:r w:rsidRPr="00A20C90">
        <w:rPr>
          <w:rFonts w:asciiTheme="majorBidi" w:hAnsiTheme="majorBidi" w:cstheme="majorBidi"/>
          <w:b/>
          <w:bCs/>
          <w:sz w:val="18"/>
          <w:szCs w:val="18"/>
          <w:rtl/>
        </w:rPr>
        <w:t>ومن ذلك، المثل المشهور: أتعلمني بضب أنا حرشته</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أي: صدقته</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فالتقديم فيه أفاد الاختصاص؛ لأن المراد أنا حرشته وحدي دون غيري</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فهو عليم به وخبير</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ولذا أنكر أن يُعلمه به أحد.</w:t>
      </w:r>
    </w:p>
    <w:p w:rsidR="00A20C90" w:rsidRPr="00A20C90" w:rsidRDefault="00A20C90" w:rsidP="00A20C90">
      <w:pPr>
        <w:spacing w:after="120" w:line="240" w:lineRule="auto"/>
        <w:jc w:val="lowKashida"/>
        <w:rPr>
          <w:rFonts w:cs="AL-Hotham"/>
          <w:b/>
          <w:bCs/>
          <w:sz w:val="18"/>
          <w:szCs w:val="18"/>
          <w:rtl/>
        </w:rPr>
      </w:pPr>
      <w:r w:rsidRPr="00A20C90">
        <w:rPr>
          <w:rFonts w:asciiTheme="majorBidi" w:hAnsiTheme="majorBidi" w:cstheme="majorBidi"/>
          <w:b/>
          <w:bCs/>
          <w:sz w:val="18"/>
          <w:szCs w:val="18"/>
          <w:rtl/>
        </w:rPr>
        <w:t>ومما أفاد التقديم؛ التأكيد وتقوية الحكم، دون الاختصاص، في تقديم المسند إليه على الخبر الفعلي في حال الإثبات، قال تعالى:</w:t>
      </w:r>
      <w:r w:rsidRPr="00A20C90">
        <w:rPr>
          <w:rFonts w:cs="AL-Hotham"/>
          <w:b/>
          <w:bCs/>
          <w:sz w:val="18"/>
          <w:szCs w:val="18"/>
          <w:rtl/>
        </w:rPr>
        <w:t xml:space="preserve"> </w:t>
      </w:r>
      <w:r w:rsidRPr="00A20C90">
        <w:rPr>
          <w:rFonts w:cs="DecoType Thuluth"/>
          <w:b/>
          <w:bCs/>
          <w:color w:val="008000"/>
          <w:sz w:val="18"/>
          <w:szCs w:val="18"/>
          <w:rtl/>
        </w:rPr>
        <w:t>{</w:t>
      </w:r>
      <w:r w:rsidRPr="00A20C90">
        <w:rPr>
          <w:rFonts w:ascii="QCF_P269" w:hAnsi="QCF_P269" w:cs="QCF_P269"/>
          <w:b/>
          <w:bCs/>
          <w:color w:val="008000"/>
          <w:sz w:val="18"/>
          <w:szCs w:val="18"/>
          <w:rtl/>
        </w:rPr>
        <w:t>ﭿ ﮀ ﮁ ﮂ ﮃ ﮄ ﮅ ﮆ ﮇ ﮈ</w:t>
      </w:r>
      <w:r w:rsidRPr="00A20C90">
        <w:rPr>
          <w:rFonts w:ascii="QCF_P269" w:hAnsi="QCF_P269" w:cs="DecoType Thuluth"/>
          <w:b/>
          <w:bCs/>
          <w:color w:val="008000"/>
          <w:sz w:val="18"/>
          <w:szCs w:val="18"/>
          <w:rtl/>
        </w:rPr>
        <w:t>}</w:t>
      </w:r>
      <w:r w:rsidRPr="00A20C90">
        <w:rPr>
          <w:rFonts w:cs="AL-Hotham"/>
          <w:b/>
          <w:bCs/>
          <w:color w:val="008000"/>
          <w:sz w:val="18"/>
          <w:szCs w:val="18"/>
          <w:rtl/>
        </w:rPr>
        <w:t xml:space="preserve"> </w:t>
      </w:r>
      <w:r w:rsidRPr="00A20C90">
        <w:rPr>
          <w:rFonts w:cs="AL-Hotham"/>
          <w:b/>
          <w:bCs/>
          <w:sz w:val="18"/>
          <w:szCs w:val="18"/>
          <w:rtl/>
        </w:rPr>
        <w:t xml:space="preserve">[النحل: 20]، فقوله: </w:t>
      </w:r>
      <w:r w:rsidRPr="00A20C90">
        <w:rPr>
          <w:rFonts w:cs="DecoType Thuluth"/>
          <w:b/>
          <w:bCs/>
          <w:color w:val="008000"/>
          <w:sz w:val="18"/>
          <w:szCs w:val="18"/>
          <w:rtl/>
        </w:rPr>
        <w:t>{</w:t>
      </w:r>
      <w:r w:rsidRPr="00A20C90">
        <w:rPr>
          <w:rFonts w:ascii="QCF_P269" w:hAnsi="QCF_P269" w:cs="QCF_P269"/>
          <w:b/>
          <w:bCs/>
          <w:color w:val="008000"/>
          <w:sz w:val="18"/>
          <w:szCs w:val="18"/>
          <w:rtl/>
        </w:rPr>
        <w:t>ﮇ ﮈ</w:t>
      </w:r>
      <w:r w:rsidRPr="00A20C90">
        <w:rPr>
          <w:rFonts w:ascii="QCF_P269" w:hAnsi="QCF_P269" w:cs="DecoType Thuluth"/>
          <w:b/>
          <w:bCs/>
          <w:color w:val="008000"/>
          <w:sz w:val="18"/>
          <w:szCs w:val="18"/>
          <w:rtl/>
        </w:rPr>
        <w:t>}</w:t>
      </w:r>
      <w:r w:rsidRPr="00A20C90">
        <w:rPr>
          <w:rFonts w:asciiTheme="majorBidi" w:hAnsiTheme="majorBidi" w:cstheme="majorBidi"/>
          <w:b/>
          <w:bCs/>
          <w:sz w:val="18"/>
          <w:szCs w:val="18"/>
          <w:rtl/>
        </w:rPr>
        <w:t>، أفاد التقديم فيه تأكيد خلقهم؛ فهم من مخلوقات الله تعالى</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والمخلوق لا يُعبد</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ولا يستطيع أن يخلق شيئًا</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وفيه ما فيه من تسفيه أحلام الكفرة الذين دعوا هؤلاء من دون الله</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ولا يفيد التقديم في الآية الكريمة اختصاصًا؛ لأن الخلق ليس مقصورًا عليهم</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والله تعالى يخلقهم ويخلق غيرهم</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وثمَّة سؤال يفرض نفسه، وهو إن كان القصر قد أفاد بمعونة السياق، قصر الخبر الفعلي منفيًّا أو مثبتًا على المسند إليه المقدم، فكيف تأتَّى إفادة التقديم في كل ما سبق</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توكيد الحكم وتقويته؟</w:t>
      </w:r>
      <w:r w:rsidRPr="00A20C90">
        <w:rPr>
          <w:rFonts w:cs="AL-Hotham"/>
          <w:b/>
          <w:bCs/>
          <w:sz w:val="18"/>
          <w:szCs w:val="18"/>
          <w:rtl/>
        </w:rPr>
        <w:t xml:space="preserve"> </w:t>
      </w:r>
    </w:p>
    <w:p w:rsidR="00A20C90" w:rsidRPr="00A20C90" w:rsidRDefault="00A20C90" w:rsidP="00A20C90">
      <w:pPr>
        <w:spacing w:after="120" w:line="240" w:lineRule="auto"/>
        <w:jc w:val="lowKashida"/>
        <w:rPr>
          <w:rFonts w:asciiTheme="majorBidi" w:hAnsiTheme="majorBidi" w:cstheme="majorBidi"/>
          <w:b/>
          <w:bCs/>
          <w:sz w:val="18"/>
          <w:szCs w:val="18"/>
          <w:rtl/>
        </w:rPr>
      </w:pPr>
      <w:r w:rsidRPr="00A20C90">
        <w:rPr>
          <w:rFonts w:asciiTheme="majorBidi" w:hAnsiTheme="majorBidi" w:cstheme="majorBidi"/>
          <w:b/>
          <w:bCs/>
          <w:sz w:val="18"/>
          <w:szCs w:val="18"/>
          <w:rtl/>
        </w:rPr>
        <w:t>لقد علل البلاغيون سر إفادة تقديم المسند إليه على الخبر الفعلي؛ للتأكيد</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وتقوية الحكم، فقال الإمام عبد القاهر: "إن قلت فمن أين وجب أن يكون تقديم ذكر المحدث عنه بالفعل، آكد لإثبات ذلك الفعل له</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وأن يكون قوله: هما يلبسان المجد، في قول شاعر أبلغ في جعلهما يلبسانه</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من أن يقال: يلبسان المجد</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فإن ذلك من أجل أنه لا يُؤتى بالاسم معرًّى من العوامل</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إلا لحديث قد نُوي إسناده إليه</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وإذا كان كذلك</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فإذا قلت: عبد الله فقد أشعرت قلبه بذلك أنك قد أردت الحديث عنه</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فإذا جئت بالحديث، فقلت: قام</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أو قلت خرج</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أو قلت قد؛ فقد علم ما جئت به</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وقد وطَّأت له</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وقدمت الإعلام فيه؛ فدخل على القلب دخول المأنوس به.</w:t>
      </w:r>
    </w:p>
    <w:p w:rsidR="00A20C90" w:rsidRPr="00A20C90" w:rsidRDefault="00A20C90" w:rsidP="00A20C90">
      <w:pPr>
        <w:spacing w:after="120" w:line="240" w:lineRule="auto"/>
        <w:jc w:val="lowKashida"/>
        <w:rPr>
          <w:rFonts w:asciiTheme="majorBidi" w:hAnsiTheme="majorBidi" w:cstheme="majorBidi"/>
          <w:b/>
          <w:bCs/>
          <w:sz w:val="18"/>
          <w:szCs w:val="18"/>
          <w:rtl/>
        </w:rPr>
      </w:pPr>
      <w:r w:rsidRPr="00A20C90">
        <w:rPr>
          <w:rFonts w:asciiTheme="majorBidi" w:hAnsiTheme="majorBidi" w:cstheme="majorBidi"/>
          <w:b/>
          <w:bCs/>
          <w:sz w:val="18"/>
          <w:szCs w:val="18"/>
          <w:rtl/>
        </w:rPr>
        <w:lastRenderedPageBreak/>
        <w:t>وقبله قبول المهيَّأ له</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المطمئن إليه</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وذلك لا محالة أشدُّ لثبوته</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وأنفى للشبهة</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وأمنع للشك</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وأدخل في التحقيق</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وجملة الأمر أنه ليس إعلامك الشيء بغتة، مثل إعلامك له بعد التنبيه عليه</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والتقدمة له؛ لأن ذلك يجري مجرى تكرير الإعلام في التأكيد والإحكام. </w:t>
      </w:r>
    </w:p>
    <w:p w:rsidR="00A20C90" w:rsidRPr="00A20C90" w:rsidRDefault="00A20C90" w:rsidP="00A20C90">
      <w:pPr>
        <w:spacing w:after="120" w:line="240" w:lineRule="auto"/>
        <w:jc w:val="lowKashida"/>
        <w:rPr>
          <w:rFonts w:asciiTheme="majorBidi" w:hAnsiTheme="majorBidi" w:cstheme="majorBidi"/>
          <w:b/>
          <w:bCs/>
          <w:sz w:val="18"/>
          <w:szCs w:val="18"/>
          <w:rtl/>
        </w:rPr>
      </w:pPr>
      <w:r w:rsidRPr="00A20C90">
        <w:rPr>
          <w:rFonts w:asciiTheme="majorBidi" w:hAnsiTheme="majorBidi" w:cstheme="majorBidi"/>
          <w:b/>
          <w:bCs/>
          <w:sz w:val="18"/>
          <w:szCs w:val="18"/>
          <w:rtl/>
        </w:rPr>
        <w:t>ومن ههنا قالوا: إن الشيء إذا أضمر ثم فُسر؛ كان ذلك أفخم له من أن يُذكر من غير تقدم إضمار</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w:t>
      </w:r>
    </w:p>
    <w:p w:rsidR="00A20C90" w:rsidRPr="00A20C90" w:rsidRDefault="00A20C90" w:rsidP="00A20C90">
      <w:pPr>
        <w:spacing w:after="120" w:line="240" w:lineRule="auto"/>
        <w:jc w:val="lowKashida"/>
        <w:rPr>
          <w:rFonts w:asciiTheme="majorBidi" w:hAnsiTheme="majorBidi" w:cstheme="majorBidi"/>
          <w:b/>
          <w:bCs/>
          <w:sz w:val="18"/>
          <w:szCs w:val="18"/>
          <w:rtl/>
        </w:rPr>
      </w:pPr>
      <w:r w:rsidRPr="00A20C90">
        <w:rPr>
          <w:rFonts w:asciiTheme="majorBidi" w:hAnsiTheme="majorBidi" w:cstheme="majorBidi"/>
          <w:b/>
          <w:bCs/>
          <w:sz w:val="18"/>
          <w:szCs w:val="18"/>
          <w:rtl/>
        </w:rPr>
        <w:t>لكن السكاكي، كان له رأي آخر في تحرير هذه العلة</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فقال في (مفتاح العلوم): "أن علة التأكيد، إنما أتت بتكرار الإسناد، في مثل قولهم: هم يضربون الكبش يبرق بيضه</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قد أسند الضرب إليهم مرتين</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مرة إلى واو الجماعة في يضربون</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فهي في موقع الفاعل</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والثانية في إسناد جملة يضربون إلى الضمير هم</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الذي هو المسند إليه المقدم؛ فهذا التكرار للإسناد، هو منشأ التوكيد وتقوية الحكم</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ودفع الشك عند السكاكي. </w:t>
      </w:r>
    </w:p>
    <w:p w:rsidR="00A20C90" w:rsidRPr="00A20C90" w:rsidRDefault="00A20C90" w:rsidP="00A20C90">
      <w:pPr>
        <w:spacing w:after="120" w:line="240" w:lineRule="auto"/>
        <w:jc w:val="lowKashida"/>
        <w:rPr>
          <w:rFonts w:asciiTheme="majorBidi" w:hAnsiTheme="majorBidi" w:cstheme="majorBidi"/>
          <w:b/>
          <w:bCs/>
          <w:sz w:val="18"/>
          <w:szCs w:val="18"/>
          <w:rtl/>
        </w:rPr>
      </w:pPr>
      <w:r w:rsidRPr="00A20C90">
        <w:rPr>
          <w:rFonts w:asciiTheme="majorBidi" w:hAnsiTheme="majorBidi" w:cstheme="majorBidi"/>
          <w:b/>
          <w:bCs/>
          <w:sz w:val="18"/>
          <w:szCs w:val="18"/>
          <w:rtl/>
        </w:rPr>
        <w:t>وقد ذكر عبد القاهر المقامات التي تقتضي التأكيد وتقوية الحكم</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والتي ينبغي أن يُقدم فيها المسند إليه على خبر الفعل</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وهذه المقامات.</w:t>
      </w:r>
    </w:p>
    <w:p w:rsidR="00A20C90" w:rsidRPr="00A20C90" w:rsidRDefault="00A20C90" w:rsidP="00A20C90">
      <w:pPr>
        <w:spacing w:after="120" w:line="240" w:lineRule="auto"/>
        <w:jc w:val="lowKashida"/>
        <w:rPr>
          <w:rFonts w:asciiTheme="majorBidi" w:hAnsiTheme="majorBidi" w:cstheme="majorBidi"/>
          <w:b/>
          <w:bCs/>
          <w:sz w:val="18"/>
          <w:szCs w:val="18"/>
          <w:rtl/>
        </w:rPr>
      </w:pPr>
      <w:r w:rsidRPr="00A20C90">
        <w:rPr>
          <w:rFonts w:asciiTheme="majorBidi" w:hAnsiTheme="majorBidi" w:cstheme="majorBidi"/>
          <w:b/>
          <w:bCs/>
          <w:color w:val="000080"/>
          <w:sz w:val="18"/>
          <w:szCs w:val="18"/>
          <w:rtl/>
        </w:rPr>
        <w:t>أولها:</w:t>
      </w:r>
      <w:r w:rsidRPr="00A20C90">
        <w:rPr>
          <w:rFonts w:asciiTheme="majorBidi" w:hAnsiTheme="majorBidi" w:cstheme="majorBidi"/>
          <w:b/>
          <w:bCs/>
          <w:sz w:val="18"/>
          <w:szCs w:val="18"/>
          <w:rtl/>
        </w:rPr>
        <w:t xml:space="preserve"> ما سبق فيه إنكار من منكر</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كقولهم: هو يعلم ذلك، وإن أنكر</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وهو يعلم أن الكذب فيما قال، وإن حلف عليه</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ومنه قوله تعالى:</w:t>
      </w:r>
      <w:r w:rsidRPr="00A20C90">
        <w:rPr>
          <w:rFonts w:cs="AL-Hotham"/>
          <w:b/>
          <w:bCs/>
          <w:sz w:val="18"/>
          <w:szCs w:val="18"/>
          <w:rtl/>
        </w:rPr>
        <w:t xml:space="preserve"> </w:t>
      </w:r>
      <w:r w:rsidRPr="00A20C90">
        <w:rPr>
          <w:rFonts w:cs="DecoType Thuluth"/>
          <w:b/>
          <w:bCs/>
          <w:color w:val="008000"/>
          <w:sz w:val="18"/>
          <w:szCs w:val="18"/>
          <w:rtl/>
        </w:rPr>
        <w:t>{</w:t>
      </w:r>
      <w:r w:rsidRPr="00A20C90">
        <w:rPr>
          <w:rFonts w:ascii="QCF_P060" w:hAnsi="QCF_P060" w:cs="QCF_P060"/>
          <w:b/>
          <w:bCs/>
          <w:color w:val="008000"/>
          <w:sz w:val="18"/>
          <w:szCs w:val="18"/>
          <w:rtl/>
        </w:rPr>
        <w:t>ﭨ ﭩ ﭪ ﭫ ﭬ ﭭ</w:t>
      </w:r>
      <w:r w:rsidRPr="00A20C90">
        <w:rPr>
          <w:rFonts w:cs="DecoType Thuluth"/>
          <w:b/>
          <w:bCs/>
          <w:color w:val="008000"/>
          <w:sz w:val="18"/>
          <w:szCs w:val="18"/>
          <w:rtl/>
        </w:rPr>
        <w:t>}</w:t>
      </w:r>
      <w:r w:rsidRPr="00A20C90">
        <w:rPr>
          <w:rFonts w:asciiTheme="majorBidi" w:hAnsiTheme="majorBidi" w:cstheme="majorBidi"/>
          <w:b/>
          <w:bCs/>
          <w:color w:val="008000"/>
          <w:sz w:val="18"/>
          <w:szCs w:val="18"/>
          <w:rtl/>
        </w:rPr>
        <w:t xml:space="preserve"> </w:t>
      </w:r>
      <w:r w:rsidRPr="00A20C90">
        <w:rPr>
          <w:rFonts w:asciiTheme="majorBidi" w:hAnsiTheme="majorBidi" w:cstheme="majorBidi"/>
          <w:b/>
          <w:bCs/>
          <w:sz w:val="18"/>
          <w:szCs w:val="18"/>
          <w:rtl/>
        </w:rPr>
        <w:t>[آل عمران: 78]، أي: يعلمون كذبهم</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فهم ينكرون الكذب وينكرون أيضًا علمهم بكذبهم؛ لأن الكاذب لا يعترف بكذبه</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وإذا لم يعترف بكذبه؛ كان أبعد من ذلك أن يعترف بالعلم بأنه كاذب</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ومعلوم أن الإنكار يقتضي توكيد الحكم</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ومن أجل ذلك قُدم المسند إليه.</w:t>
      </w:r>
    </w:p>
    <w:p w:rsidR="00A20C90" w:rsidRPr="00A20C90" w:rsidRDefault="00A20C90" w:rsidP="00A20C90">
      <w:pPr>
        <w:spacing w:after="120" w:line="240" w:lineRule="auto"/>
        <w:jc w:val="lowKashida"/>
        <w:rPr>
          <w:rFonts w:cs="AL-Hotham"/>
          <w:b/>
          <w:bCs/>
          <w:sz w:val="18"/>
          <w:szCs w:val="18"/>
          <w:rtl/>
        </w:rPr>
      </w:pPr>
      <w:r w:rsidRPr="00A20C90">
        <w:rPr>
          <w:rFonts w:asciiTheme="majorBidi" w:hAnsiTheme="majorBidi" w:cstheme="majorBidi"/>
          <w:b/>
          <w:bCs/>
          <w:color w:val="000080"/>
          <w:spacing w:val="-6"/>
          <w:sz w:val="18"/>
          <w:szCs w:val="18"/>
          <w:rtl/>
        </w:rPr>
        <w:t>الأمر الثاني:</w:t>
      </w:r>
      <w:r w:rsidRPr="00A20C90">
        <w:rPr>
          <w:rFonts w:asciiTheme="majorBidi" w:hAnsiTheme="majorBidi" w:cstheme="majorBidi"/>
          <w:b/>
          <w:bCs/>
          <w:spacing w:val="-6"/>
          <w:sz w:val="18"/>
          <w:szCs w:val="18"/>
          <w:rtl/>
        </w:rPr>
        <w:t xml:space="preserve"> مقام التكذيب وإبطال دعوى مدعه</w:t>
      </w:r>
      <w:r w:rsidRPr="00A20C90">
        <w:rPr>
          <w:rFonts w:asciiTheme="majorBidi" w:hAnsiTheme="majorBidi" w:cstheme="majorBidi"/>
          <w:b/>
          <w:bCs/>
          <w:spacing w:val="-6"/>
          <w:sz w:val="18"/>
          <w:szCs w:val="18"/>
          <w:rtl/>
          <w:lang w:bidi="ar-EG"/>
        </w:rPr>
        <w:t>،</w:t>
      </w:r>
      <w:r w:rsidRPr="00A20C90">
        <w:rPr>
          <w:rFonts w:asciiTheme="majorBidi" w:hAnsiTheme="majorBidi" w:cstheme="majorBidi"/>
          <w:b/>
          <w:bCs/>
          <w:spacing w:val="-6"/>
          <w:sz w:val="18"/>
          <w:szCs w:val="18"/>
          <w:rtl/>
        </w:rPr>
        <w:t xml:space="preserve"> كما في قوله تعالى</w:t>
      </w:r>
      <w:r w:rsidRPr="00A20C90">
        <w:rPr>
          <w:rFonts w:cs="AL-Hotham"/>
          <w:b/>
          <w:bCs/>
          <w:spacing w:val="-6"/>
          <w:sz w:val="18"/>
          <w:szCs w:val="18"/>
          <w:rtl/>
        </w:rPr>
        <w:t xml:space="preserve">: </w:t>
      </w:r>
      <w:r w:rsidRPr="00A20C90">
        <w:rPr>
          <w:rFonts w:cs="DecoType Thuluth"/>
          <w:b/>
          <w:bCs/>
          <w:color w:val="008000"/>
          <w:spacing w:val="-6"/>
          <w:sz w:val="18"/>
          <w:szCs w:val="18"/>
          <w:rtl/>
        </w:rPr>
        <w:t>{</w:t>
      </w:r>
      <w:r w:rsidRPr="00A20C90">
        <w:rPr>
          <w:rFonts w:ascii="QCF_P118" w:hAnsi="QCF_P118" w:cs="QCF_P118"/>
          <w:b/>
          <w:bCs/>
          <w:color w:val="008000"/>
          <w:spacing w:val="-6"/>
          <w:sz w:val="18"/>
          <w:szCs w:val="18"/>
          <w:rtl/>
        </w:rPr>
        <w:t>ﮒ ﮓ ﮔ ﮕ ﮖ ﮗ ﮘ ﮙ ﮚ ﮛ ﮜ ﮝ ﮞ ﮟ ﮠ ﮡ ﮢ</w:t>
      </w:r>
      <w:r w:rsidRPr="00A20C90">
        <w:rPr>
          <w:rFonts w:cs="DecoType Thuluth"/>
          <w:b/>
          <w:bCs/>
          <w:color w:val="008000"/>
          <w:spacing w:val="-6"/>
          <w:sz w:val="18"/>
          <w:szCs w:val="18"/>
          <w:rtl/>
        </w:rPr>
        <w:t>}</w:t>
      </w:r>
      <w:r w:rsidRPr="00A20C90">
        <w:rPr>
          <w:rFonts w:cs="AL-Hotham"/>
          <w:b/>
          <w:bCs/>
          <w:color w:val="008000"/>
          <w:spacing w:val="-6"/>
          <w:sz w:val="18"/>
          <w:szCs w:val="18"/>
          <w:rtl/>
        </w:rPr>
        <w:t xml:space="preserve"> </w:t>
      </w:r>
      <w:r w:rsidRPr="00A20C90">
        <w:rPr>
          <w:rFonts w:cs="AL-Hotham"/>
          <w:b/>
          <w:bCs/>
          <w:spacing w:val="-6"/>
          <w:sz w:val="18"/>
          <w:szCs w:val="18"/>
          <w:rtl/>
        </w:rPr>
        <w:t>[</w:t>
      </w:r>
      <w:r w:rsidRPr="00A20C90">
        <w:rPr>
          <w:rFonts w:asciiTheme="majorBidi" w:hAnsiTheme="majorBidi" w:cstheme="majorBidi"/>
          <w:b/>
          <w:bCs/>
          <w:spacing w:val="-6"/>
          <w:sz w:val="18"/>
          <w:szCs w:val="18"/>
          <w:rtl/>
        </w:rPr>
        <w:t>المائدة: 61]</w:t>
      </w:r>
      <w:r w:rsidRPr="00A20C90">
        <w:rPr>
          <w:rFonts w:asciiTheme="majorBidi" w:hAnsiTheme="majorBidi" w:cstheme="majorBidi"/>
          <w:b/>
          <w:bCs/>
          <w:sz w:val="18"/>
          <w:szCs w:val="18"/>
          <w:rtl/>
        </w:rPr>
        <w:t>، فقولهم</w:t>
      </w:r>
      <w:r w:rsidRPr="00A20C90">
        <w:rPr>
          <w:rFonts w:cs="AL-Hotham" w:hint="cs"/>
          <w:b/>
          <w:bCs/>
          <w:sz w:val="18"/>
          <w:szCs w:val="18"/>
          <w:rtl/>
        </w:rPr>
        <w:t>:</w:t>
      </w:r>
      <w:r w:rsidRPr="00A20C90">
        <w:rPr>
          <w:rFonts w:cs="AL-Hotham"/>
          <w:b/>
          <w:bCs/>
          <w:sz w:val="18"/>
          <w:szCs w:val="18"/>
          <w:rtl/>
        </w:rPr>
        <w:t xml:space="preserve"> </w:t>
      </w:r>
      <w:r w:rsidRPr="00A20C90">
        <w:rPr>
          <w:rFonts w:cs="DecoType Thuluth"/>
          <w:b/>
          <w:bCs/>
          <w:color w:val="008000"/>
          <w:sz w:val="18"/>
          <w:szCs w:val="18"/>
          <w:rtl/>
        </w:rPr>
        <w:t>{</w:t>
      </w:r>
      <w:r w:rsidRPr="00A20C90">
        <w:rPr>
          <w:rFonts w:ascii="QCF_P118" w:hAnsi="QCF_P118" w:cs="QCF_P118"/>
          <w:b/>
          <w:bCs/>
          <w:color w:val="008000"/>
          <w:sz w:val="18"/>
          <w:szCs w:val="18"/>
          <w:rtl/>
        </w:rPr>
        <w:t>ﮕ</w:t>
      </w:r>
      <w:r w:rsidRPr="00A20C90">
        <w:rPr>
          <w:rFonts w:cs="DecoType Thuluth"/>
          <w:b/>
          <w:bCs/>
          <w:color w:val="008000"/>
          <w:sz w:val="18"/>
          <w:szCs w:val="18"/>
          <w:rtl/>
        </w:rPr>
        <w:t>}</w:t>
      </w:r>
      <w:r w:rsidRPr="00A20C90">
        <w:rPr>
          <w:rFonts w:asciiTheme="majorBidi" w:hAnsiTheme="majorBidi" w:cstheme="majorBidi"/>
          <w:b/>
          <w:bCs/>
          <w:sz w:val="18"/>
          <w:szCs w:val="18"/>
          <w:rtl/>
        </w:rPr>
        <w:t>، دعوة منهم أنهم لم يخرجوا بالكفر كما دخلوا به</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فالمقام مقام تكذيب، يقتضي التأكيد؛ إبطالًا لما ادعوه</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ولذا قُدم المسند إليه </w:t>
      </w:r>
      <w:r w:rsidRPr="00A20C90">
        <w:rPr>
          <w:rFonts w:cs="DecoType Thuluth"/>
          <w:b/>
          <w:bCs/>
          <w:color w:val="008000"/>
          <w:sz w:val="18"/>
          <w:szCs w:val="18"/>
          <w:rtl/>
        </w:rPr>
        <w:t>{</w:t>
      </w:r>
      <w:r w:rsidRPr="00A20C90">
        <w:rPr>
          <w:rFonts w:ascii="QCF_P118" w:hAnsi="QCF_P118" w:cs="QCF_P118"/>
          <w:b/>
          <w:bCs/>
          <w:color w:val="008000"/>
          <w:sz w:val="18"/>
          <w:szCs w:val="18"/>
          <w:rtl/>
        </w:rPr>
        <w:t>ﮙ ﮚ ﮛ ﮜ</w:t>
      </w:r>
      <w:r w:rsidRPr="00A20C90">
        <w:rPr>
          <w:rFonts w:ascii="QCF_P118" w:hAnsi="QCF_P118" w:cs="DecoType Thuluth"/>
          <w:b/>
          <w:bCs/>
          <w:color w:val="008000"/>
          <w:sz w:val="18"/>
          <w:szCs w:val="18"/>
          <w:rtl/>
        </w:rPr>
        <w:t>}</w:t>
      </w:r>
      <w:r w:rsidRPr="00A20C90">
        <w:rPr>
          <w:rFonts w:cs="AL-Hotham"/>
          <w:b/>
          <w:bCs/>
          <w:sz w:val="18"/>
          <w:szCs w:val="18"/>
          <w:rtl/>
        </w:rPr>
        <w:t>.</w:t>
      </w:r>
    </w:p>
    <w:p w:rsidR="00A20C90" w:rsidRPr="00A20C90" w:rsidRDefault="00A20C90" w:rsidP="00A20C90">
      <w:pPr>
        <w:spacing w:after="120" w:line="240" w:lineRule="auto"/>
        <w:jc w:val="lowKashida"/>
        <w:rPr>
          <w:rFonts w:asciiTheme="majorBidi" w:hAnsiTheme="majorBidi" w:cstheme="majorBidi"/>
          <w:b/>
          <w:bCs/>
          <w:sz w:val="18"/>
          <w:szCs w:val="18"/>
          <w:rtl/>
        </w:rPr>
      </w:pPr>
      <w:r w:rsidRPr="00A20C90">
        <w:rPr>
          <w:rFonts w:asciiTheme="majorBidi" w:hAnsiTheme="majorBidi" w:cstheme="majorBidi"/>
          <w:b/>
          <w:bCs/>
          <w:color w:val="000080"/>
          <w:sz w:val="18"/>
          <w:szCs w:val="18"/>
          <w:rtl/>
        </w:rPr>
        <w:t>الأمر الثالث:</w:t>
      </w:r>
      <w:r w:rsidRPr="00A20C90">
        <w:rPr>
          <w:rFonts w:asciiTheme="majorBidi" w:hAnsiTheme="majorBidi" w:cstheme="majorBidi"/>
          <w:b/>
          <w:bCs/>
          <w:sz w:val="18"/>
          <w:szCs w:val="18"/>
          <w:rtl/>
        </w:rPr>
        <w:t xml:space="preserve"> فيما القياس في مثله ألا يكون، كما في قوله تعالى</w:t>
      </w:r>
      <w:r w:rsidRPr="00A20C90">
        <w:rPr>
          <w:rFonts w:cs="AL-Hotham"/>
          <w:b/>
          <w:bCs/>
          <w:sz w:val="18"/>
          <w:szCs w:val="18"/>
          <w:rtl/>
        </w:rPr>
        <w:t xml:space="preserve">: </w:t>
      </w:r>
      <w:r w:rsidRPr="00A20C90">
        <w:rPr>
          <w:rFonts w:cs="DecoType Thuluth"/>
          <w:b/>
          <w:bCs/>
          <w:color w:val="008000"/>
          <w:sz w:val="18"/>
          <w:szCs w:val="18"/>
          <w:rtl/>
        </w:rPr>
        <w:t>{</w:t>
      </w:r>
      <w:r w:rsidRPr="00A20C90">
        <w:rPr>
          <w:rFonts w:ascii="QCF_P269" w:hAnsi="QCF_P269" w:cs="QCF_P269"/>
          <w:b/>
          <w:bCs/>
          <w:color w:val="008000"/>
          <w:sz w:val="18"/>
          <w:szCs w:val="18"/>
          <w:rtl/>
        </w:rPr>
        <w:t>ﭿ ﮀ ﮁ ﮂ ﮃ ﮄ ﮅ ﮆ ﮇ ﮈ</w:t>
      </w:r>
      <w:r w:rsidRPr="00A20C90">
        <w:rPr>
          <w:rFonts w:cs="DecoType Thuluth"/>
          <w:b/>
          <w:bCs/>
          <w:color w:val="008000"/>
          <w:sz w:val="18"/>
          <w:szCs w:val="18"/>
          <w:rtl/>
        </w:rPr>
        <w:t>}</w:t>
      </w:r>
      <w:r w:rsidRPr="00A20C90">
        <w:rPr>
          <w:rFonts w:cs="AL-Hotham" w:hint="cs"/>
          <w:b/>
          <w:bCs/>
          <w:sz w:val="18"/>
          <w:szCs w:val="18"/>
          <w:rtl/>
        </w:rPr>
        <w:t>،</w:t>
      </w:r>
      <w:r w:rsidRPr="00A20C90">
        <w:rPr>
          <w:rFonts w:cs="AL-Hotham"/>
          <w:b/>
          <w:bCs/>
          <w:sz w:val="18"/>
          <w:szCs w:val="18"/>
          <w:rtl/>
        </w:rPr>
        <w:t xml:space="preserve"> وقوله سبحانه: </w:t>
      </w:r>
      <w:r w:rsidRPr="00A20C90">
        <w:rPr>
          <w:rFonts w:cs="DecoType Thuluth"/>
          <w:b/>
          <w:bCs/>
          <w:color w:val="008000"/>
          <w:sz w:val="18"/>
          <w:szCs w:val="18"/>
          <w:rtl/>
        </w:rPr>
        <w:t>{</w:t>
      </w:r>
      <w:r w:rsidRPr="00A20C90">
        <w:rPr>
          <w:rFonts w:ascii="QCF_P360" w:hAnsi="QCF_P360" w:cs="QCF_P360"/>
          <w:b/>
          <w:bCs/>
          <w:color w:val="008000"/>
          <w:sz w:val="18"/>
          <w:szCs w:val="18"/>
          <w:rtl/>
        </w:rPr>
        <w:t>ﭑ ﭒ ﭓ ﭔ ﭕ ﭖ ﭗ ﭘ ﭙ</w:t>
      </w:r>
      <w:r w:rsidRPr="00A20C90">
        <w:rPr>
          <w:rFonts w:cs="DecoType Thuluth"/>
          <w:b/>
          <w:bCs/>
          <w:color w:val="008000"/>
          <w:sz w:val="18"/>
          <w:szCs w:val="18"/>
          <w:rtl/>
        </w:rPr>
        <w:t>}</w:t>
      </w:r>
      <w:r w:rsidRPr="00A20C90">
        <w:rPr>
          <w:rFonts w:asciiTheme="majorBidi" w:hAnsiTheme="majorBidi" w:cstheme="majorBidi"/>
          <w:b/>
          <w:bCs/>
          <w:color w:val="008000"/>
          <w:sz w:val="18"/>
          <w:szCs w:val="18"/>
          <w:rtl/>
        </w:rPr>
        <w:t xml:space="preserve"> </w:t>
      </w:r>
      <w:r w:rsidRPr="00A20C90">
        <w:rPr>
          <w:rFonts w:asciiTheme="majorBidi" w:hAnsiTheme="majorBidi" w:cstheme="majorBidi"/>
          <w:b/>
          <w:bCs/>
          <w:sz w:val="18"/>
          <w:szCs w:val="18"/>
          <w:rtl/>
        </w:rPr>
        <w:t>[الفرقان: 3]، وذلك أن عبادتهم لتلك الألهة، تقتضي أن تكون خالقة لا مخلوقة؛ لأن من شأن المعبود أن يكون خالقًا، وهم وأن كانوا لا ينكرون أنها مخلوقة إلا أنهم نُزلوا منزلة من ينكر ذلك، فأكد لهم الكلام تنبيهًا على خطئهم وضلالهم.</w:t>
      </w:r>
    </w:p>
    <w:p w:rsidR="00A20C90" w:rsidRPr="00A20C90" w:rsidRDefault="00A20C90" w:rsidP="00A20C90">
      <w:pPr>
        <w:spacing w:after="120" w:line="240" w:lineRule="auto"/>
        <w:jc w:val="lowKashida"/>
        <w:rPr>
          <w:rFonts w:asciiTheme="majorBidi" w:hAnsiTheme="majorBidi" w:cstheme="majorBidi"/>
          <w:b/>
          <w:bCs/>
          <w:sz w:val="18"/>
          <w:szCs w:val="18"/>
          <w:rtl/>
        </w:rPr>
      </w:pPr>
      <w:r w:rsidRPr="00A20C90">
        <w:rPr>
          <w:rFonts w:asciiTheme="majorBidi" w:hAnsiTheme="majorBidi" w:cstheme="majorBidi"/>
          <w:b/>
          <w:bCs/>
          <w:sz w:val="18"/>
          <w:szCs w:val="18"/>
          <w:rtl/>
        </w:rPr>
        <w:t>الصورة الرابعة، التي أتى بها الإمام عبد القاهر، فيما أفاد التوكيد في حال تقديم المسند إليه على الخبر الفعلي المثبت: أن يكون الخبر غريبًا؛ لوقوعه على خلاف العادة، كقولك: الجبان يصارع الأسود، ونحو ذلك.</w:t>
      </w:r>
    </w:p>
    <w:p w:rsidR="00A20C90" w:rsidRPr="00A20C90" w:rsidRDefault="00A20C90" w:rsidP="00A20C90">
      <w:pPr>
        <w:spacing w:after="120" w:line="240" w:lineRule="auto"/>
        <w:jc w:val="lowKashida"/>
        <w:rPr>
          <w:rFonts w:asciiTheme="majorBidi" w:hAnsiTheme="majorBidi" w:cstheme="majorBidi"/>
          <w:b/>
          <w:bCs/>
          <w:sz w:val="18"/>
          <w:szCs w:val="18"/>
          <w:rtl/>
        </w:rPr>
      </w:pPr>
      <w:r w:rsidRPr="00A20C90">
        <w:rPr>
          <w:rFonts w:asciiTheme="majorBidi" w:hAnsiTheme="majorBidi" w:cstheme="majorBidi"/>
          <w:b/>
          <w:bCs/>
          <w:sz w:val="18"/>
          <w:szCs w:val="18"/>
          <w:rtl/>
        </w:rPr>
        <w:t>الصورة الخامسة في مقام الوعد والضمان، كقولك للفقير: أنا أعطيك وأكفيك</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وأنا أقوم بهذا الأمر نيابة عنك</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وذلك لأن من شأن من تعده وتضمن له أن يعترضه شك في تمام الوعد</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وفي الوفاء به</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فهو أحوج إلى التوكيد.</w:t>
      </w:r>
    </w:p>
    <w:p w:rsidR="00A20C90" w:rsidRPr="00A20C90" w:rsidRDefault="00A20C90" w:rsidP="00A20C90">
      <w:pPr>
        <w:spacing w:after="120" w:line="240" w:lineRule="auto"/>
        <w:jc w:val="lowKashida"/>
        <w:rPr>
          <w:rFonts w:asciiTheme="majorBidi" w:hAnsiTheme="majorBidi" w:cstheme="majorBidi"/>
          <w:b/>
          <w:bCs/>
          <w:sz w:val="18"/>
          <w:szCs w:val="18"/>
          <w:rtl/>
        </w:rPr>
      </w:pPr>
      <w:r w:rsidRPr="00A20C90">
        <w:rPr>
          <w:rFonts w:asciiTheme="majorBidi" w:hAnsiTheme="majorBidi" w:cstheme="majorBidi"/>
          <w:b/>
          <w:bCs/>
          <w:sz w:val="18"/>
          <w:szCs w:val="18"/>
          <w:rtl/>
        </w:rPr>
        <w:t>الصورة السادسة، التي عرضها لها الإمام عبد القاهر قال: "إنه يكثر في مقام المدح والفخر، كقولك: هو يعطي الجزيل</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وأنت تقري الضيف</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ومنه قول الشاعر: </w:t>
      </w:r>
    </w:p>
    <w:tbl>
      <w:tblPr>
        <w:tblStyle w:val="a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29"/>
        <w:gridCol w:w="571"/>
        <w:gridCol w:w="2094"/>
      </w:tblGrid>
      <w:tr w:rsidR="00A20C90" w:rsidRPr="00A20C90" w:rsidTr="005F3475">
        <w:trPr>
          <w:trHeight w:hRule="exact" w:val="510"/>
          <w:jc w:val="center"/>
        </w:trPr>
        <w:tc>
          <w:tcPr>
            <w:tcW w:w="2909" w:type="dxa"/>
            <w:shd w:val="clear" w:color="auto" w:fill="auto"/>
            <w:vAlign w:val="center"/>
          </w:tcPr>
          <w:p w:rsidR="00A20C90" w:rsidRPr="00A20C90" w:rsidRDefault="00A20C90" w:rsidP="00A20C90">
            <w:pPr>
              <w:spacing w:after="120"/>
              <w:jc w:val="both"/>
              <w:rPr>
                <w:rFonts w:asciiTheme="majorBidi" w:hAnsiTheme="majorBidi" w:cstheme="majorBidi"/>
                <w:b/>
                <w:bCs/>
                <w:sz w:val="18"/>
                <w:szCs w:val="18"/>
                <w:rtl/>
              </w:rPr>
            </w:pPr>
            <w:r w:rsidRPr="00A20C90">
              <w:rPr>
                <w:rFonts w:asciiTheme="majorBidi" w:hAnsiTheme="majorBidi" w:cstheme="majorBidi"/>
                <w:b/>
                <w:bCs/>
                <w:sz w:val="18"/>
                <w:szCs w:val="18"/>
                <w:rtl/>
              </w:rPr>
              <w:t>نحن في المشتاة ندعو الجفلى</w:t>
            </w:r>
            <w:r w:rsidRPr="00A20C90">
              <w:rPr>
                <w:rFonts w:asciiTheme="majorBidi" w:hAnsiTheme="majorBidi" w:cstheme="majorBidi"/>
                <w:b/>
                <w:bCs/>
                <w:sz w:val="18"/>
                <w:szCs w:val="18"/>
                <w:rtl/>
              </w:rPr>
              <w:br/>
            </w:r>
          </w:p>
        </w:tc>
        <w:tc>
          <w:tcPr>
            <w:tcW w:w="709" w:type="dxa"/>
            <w:shd w:val="clear" w:color="auto" w:fill="auto"/>
            <w:vAlign w:val="center"/>
          </w:tcPr>
          <w:p w:rsidR="00A20C90" w:rsidRPr="00A20C90" w:rsidRDefault="00A20C90" w:rsidP="00A20C90">
            <w:pPr>
              <w:spacing w:after="120"/>
              <w:jc w:val="center"/>
              <w:rPr>
                <w:rFonts w:asciiTheme="majorBidi" w:hAnsiTheme="majorBidi" w:cstheme="majorBidi"/>
                <w:b/>
                <w:bCs/>
                <w:sz w:val="18"/>
                <w:szCs w:val="18"/>
                <w:rtl/>
              </w:rPr>
            </w:pPr>
            <w:r w:rsidRPr="00A20C90">
              <w:rPr>
                <w:rFonts w:asciiTheme="majorBidi" w:hAnsiTheme="majorBidi" w:cstheme="majorBidi"/>
                <w:b/>
                <w:bCs/>
                <w:sz w:val="18"/>
                <w:szCs w:val="18"/>
                <w:rtl/>
              </w:rPr>
              <w:t>*</w:t>
            </w:r>
          </w:p>
        </w:tc>
        <w:tc>
          <w:tcPr>
            <w:tcW w:w="2909" w:type="dxa"/>
            <w:shd w:val="clear" w:color="auto" w:fill="auto"/>
            <w:vAlign w:val="center"/>
          </w:tcPr>
          <w:p w:rsidR="00A20C90" w:rsidRPr="00A20C90" w:rsidRDefault="00A20C90" w:rsidP="00A20C90">
            <w:pPr>
              <w:spacing w:after="120"/>
              <w:jc w:val="both"/>
              <w:rPr>
                <w:rFonts w:asciiTheme="majorBidi" w:hAnsiTheme="majorBidi" w:cstheme="majorBidi"/>
                <w:b/>
                <w:bCs/>
                <w:sz w:val="18"/>
                <w:szCs w:val="18"/>
                <w:rtl/>
              </w:rPr>
            </w:pPr>
            <w:r w:rsidRPr="00A20C90">
              <w:rPr>
                <w:rFonts w:asciiTheme="majorBidi" w:hAnsiTheme="majorBidi" w:cstheme="majorBidi"/>
                <w:b/>
                <w:bCs/>
                <w:sz w:val="18"/>
                <w:szCs w:val="18"/>
                <w:rtl/>
              </w:rPr>
              <w:t>لا ترى الآدب فينا ينتقر</w:t>
            </w:r>
            <w:r w:rsidRPr="00A20C90">
              <w:rPr>
                <w:rFonts w:asciiTheme="majorBidi" w:hAnsiTheme="majorBidi" w:cstheme="majorBidi"/>
                <w:b/>
                <w:bCs/>
                <w:sz w:val="18"/>
                <w:szCs w:val="18"/>
                <w:rtl/>
              </w:rPr>
              <w:br/>
            </w:r>
          </w:p>
        </w:tc>
      </w:tr>
    </w:tbl>
    <w:p w:rsidR="00A20C90" w:rsidRPr="00A20C90" w:rsidRDefault="00A20C90" w:rsidP="00A20C90">
      <w:pPr>
        <w:spacing w:after="120" w:line="240" w:lineRule="auto"/>
        <w:jc w:val="lowKashida"/>
        <w:rPr>
          <w:rFonts w:asciiTheme="majorBidi" w:hAnsiTheme="majorBidi" w:cstheme="majorBidi"/>
          <w:b/>
          <w:bCs/>
          <w:sz w:val="18"/>
          <w:szCs w:val="18"/>
          <w:rtl/>
        </w:rPr>
      </w:pPr>
      <w:r w:rsidRPr="00A20C90">
        <w:rPr>
          <w:rFonts w:asciiTheme="majorBidi" w:hAnsiTheme="majorBidi" w:cstheme="majorBidi"/>
          <w:b/>
          <w:bCs/>
          <w:sz w:val="18"/>
          <w:szCs w:val="18"/>
          <w:rtl/>
        </w:rPr>
        <w:t>والمشتاة، يعني: زمن الشتاء أو مكانه، والجفلى: الدعوة العامة التي لا يختص بها أحد</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والآدب: هو الداعي إلى الطعام</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وينتقر، يعني: يدعو النقر؛ وهي الدعوة الخاصة.</w:t>
      </w:r>
    </w:p>
    <w:p w:rsidR="00A20C90" w:rsidRPr="00A20C90" w:rsidRDefault="00A20C90" w:rsidP="00A20C90">
      <w:pPr>
        <w:spacing w:after="120" w:line="240" w:lineRule="auto"/>
        <w:jc w:val="lowKashida"/>
        <w:rPr>
          <w:rFonts w:asciiTheme="majorBidi" w:hAnsiTheme="majorBidi" w:cstheme="majorBidi"/>
          <w:b/>
          <w:bCs/>
          <w:sz w:val="18"/>
          <w:szCs w:val="18"/>
          <w:rtl/>
        </w:rPr>
      </w:pPr>
      <w:r w:rsidRPr="00A20C90">
        <w:rPr>
          <w:rFonts w:asciiTheme="majorBidi" w:hAnsiTheme="majorBidi" w:cstheme="majorBidi"/>
          <w:b/>
          <w:bCs/>
          <w:sz w:val="18"/>
          <w:szCs w:val="18"/>
          <w:rtl/>
        </w:rPr>
        <w:lastRenderedPageBreak/>
        <w:t xml:space="preserve">الشاهد: نحن في المشتاة ندعو الجفلى. </w:t>
      </w:r>
    </w:p>
    <w:p w:rsidR="00A20C90" w:rsidRPr="00A20C90" w:rsidRDefault="00A20C90" w:rsidP="00A20C90">
      <w:pPr>
        <w:spacing w:after="120" w:line="240" w:lineRule="auto"/>
        <w:jc w:val="lowKashida"/>
        <w:rPr>
          <w:rFonts w:asciiTheme="majorBidi" w:hAnsiTheme="majorBidi" w:cstheme="majorBidi"/>
          <w:b/>
          <w:bCs/>
          <w:sz w:val="18"/>
          <w:szCs w:val="18"/>
          <w:rtl/>
        </w:rPr>
      </w:pPr>
      <w:r w:rsidRPr="00A20C90">
        <w:rPr>
          <w:rFonts w:asciiTheme="majorBidi" w:hAnsiTheme="majorBidi" w:cstheme="majorBidi"/>
          <w:b/>
          <w:bCs/>
          <w:sz w:val="18"/>
          <w:szCs w:val="18"/>
          <w:rtl/>
        </w:rPr>
        <w:t>ومثل قول الآخر:</w:t>
      </w:r>
    </w:p>
    <w:tbl>
      <w:tblPr>
        <w:tblStyle w:val="a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36"/>
        <w:gridCol w:w="567"/>
        <w:gridCol w:w="2091"/>
      </w:tblGrid>
      <w:tr w:rsidR="00A20C90" w:rsidRPr="00A20C90" w:rsidTr="005F3475">
        <w:trPr>
          <w:trHeight w:hRule="exact" w:val="510"/>
          <w:jc w:val="center"/>
        </w:trPr>
        <w:tc>
          <w:tcPr>
            <w:tcW w:w="2909" w:type="dxa"/>
            <w:shd w:val="clear" w:color="auto" w:fill="auto"/>
            <w:vAlign w:val="center"/>
          </w:tcPr>
          <w:p w:rsidR="00A20C90" w:rsidRPr="00A20C90" w:rsidRDefault="00A20C90" w:rsidP="00A20C90">
            <w:pPr>
              <w:spacing w:after="120"/>
              <w:jc w:val="both"/>
              <w:rPr>
                <w:rFonts w:asciiTheme="majorBidi" w:hAnsiTheme="majorBidi" w:cstheme="majorBidi"/>
                <w:b/>
                <w:bCs/>
                <w:sz w:val="18"/>
                <w:szCs w:val="18"/>
                <w:rtl/>
              </w:rPr>
            </w:pPr>
            <w:r w:rsidRPr="00A20C90">
              <w:rPr>
                <w:rFonts w:asciiTheme="majorBidi" w:hAnsiTheme="majorBidi" w:cstheme="majorBidi"/>
                <w:b/>
                <w:bCs/>
                <w:sz w:val="18"/>
                <w:szCs w:val="18"/>
                <w:rtl/>
              </w:rPr>
              <w:t>هم يضربون الكبش يبرق بيضه</w:t>
            </w:r>
            <w:r w:rsidRPr="00A20C90">
              <w:rPr>
                <w:rFonts w:asciiTheme="majorBidi" w:hAnsiTheme="majorBidi" w:cstheme="majorBidi"/>
                <w:b/>
                <w:bCs/>
                <w:sz w:val="18"/>
                <w:szCs w:val="18"/>
                <w:rtl/>
              </w:rPr>
              <w:br/>
            </w:r>
          </w:p>
        </w:tc>
        <w:tc>
          <w:tcPr>
            <w:tcW w:w="709" w:type="dxa"/>
            <w:shd w:val="clear" w:color="auto" w:fill="auto"/>
            <w:vAlign w:val="center"/>
          </w:tcPr>
          <w:p w:rsidR="00A20C90" w:rsidRPr="00A20C90" w:rsidRDefault="00A20C90" w:rsidP="00A20C90">
            <w:pPr>
              <w:spacing w:after="120"/>
              <w:jc w:val="center"/>
              <w:rPr>
                <w:rFonts w:asciiTheme="majorBidi" w:hAnsiTheme="majorBidi" w:cstheme="majorBidi"/>
                <w:b/>
                <w:bCs/>
                <w:sz w:val="18"/>
                <w:szCs w:val="18"/>
                <w:rtl/>
              </w:rPr>
            </w:pPr>
            <w:r w:rsidRPr="00A20C90">
              <w:rPr>
                <w:rFonts w:asciiTheme="majorBidi" w:hAnsiTheme="majorBidi" w:cstheme="majorBidi"/>
                <w:b/>
                <w:bCs/>
                <w:sz w:val="18"/>
                <w:szCs w:val="18"/>
                <w:rtl/>
              </w:rPr>
              <w:t>*</w:t>
            </w:r>
          </w:p>
        </w:tc>
        <w:tc>
          <w:tcPr>
            <w:tcW w:w="2909" w:type="dxa"/>
            <w:shd w:val="clear" w:color="auto" w:fill="auto"/>
            <w:vAlign w:val="center"/>
          </w:tcPr>
          <w:p w:rsidR="00A20C90" w:rsidRPr="00A20C90" w:rsidRDefault="00A20C90" w:rsidP="00A20C90">
            <w:pPr>
              <w:spacing w:after="120"/>
              <w:jc w:val="both"/>
              <w:rPr>
                <w:rFonts w:asciiTheme="majorBidi" w:hAnsiTheme="majorBidi" w:cstheme="majorBidi"/>
                <w:b/>
                <w:bCs/>
                <w:sz w:val="18"/>
                <w:szCs w:val="18"/>
                <w:rtl/>
              </w:rPr>
            </w:pPr>
            <w:r w:rsidRPr="00A20C90">
              <w:rPr>
                <w:rFonts w:asciiTheme="majorBidi" w:hAnsiTheme="majorBidi" w:cstheme="majorBidi"/>
                <w:b/>
                <w:bCs/>
                <w:sz w:val="18"/>
                <w:szCs w:val="18"/>
                <w:rtl/>
              </w:rPr>
              <w:t>على وجهه من الدماء سبائب</w:t>
            </w:r>
            <w:r w:rsidRPr="00A20C90">
              <w:rPr>
                <w:rFonts w:asciiTheme="majorBidi" w:hAnsiTheme="majorBidi" w:cstheme="majorBidi"/>
                <w:b/>
                <w:bCs/>
                <w:sz w:val="18"/>
                <w:szCs w:val="18"/>
                <w:rtl/>
              </w:rPr>
              <w:br/>
            </w:r>
          </w:p>
        </w:tc>
      </w:tr>
    </w:tbl>
    <w:p w:rsidR="00A20C90" w:rsidRPr="00A20C90" w:rsidRDefault="00A20C90" w:rsidP="00A20C90">
      <w:pPr>
        <w:spacing w:after="120" w:line="240" w:lineRule="auto"/>
        <w:jc w:val="lowKashida"/>
        <w:rPr>
          <w:rFonts w:asciiTheme="majorBidi" w:hAnsiTheme="majorBidi" w:cstheme="majorBidi"/>
          <w:b/>
          <w:bCs/>
          <w:sz w:val="18"/>
          <w:szCs w:val="18"/>
          <w:rtl/>
        </w:rPr>
      </w:pPr>
      <w:r w:rsidRPr="00A20C90">
        <w:rPr>
          <w:rFonts w:asciiTheme="majorBidi" w:hAnsiTheme="majorBidi" w:cstheme="majorBidi"/>
          <w:b/>
          <w:bCs/>
          <w:sz w:val="18"/>
          <w:szCs w:val="18"/>
          <w:rtl/>
        </w:rPr>
        <w:t>فالكبش: هو رئيس القوم</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والبيض: مفردها بيضة، وهي الخوذة التي توضع على الرأس</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والسبائب، تعني: الطرائق.</w:t>
      </w:r>
    </w:p>
    <w:p w:rsidR="00A20C90" w:rsidRPr="00A20C90" w:rsidRDefault="00A20C90" w:rsidP="00A20C90">
      <w:pPr>
        <w:spacing w:after="120" w:line="240" w:lineRule="auto"/>
        <w:jc w:val="lowKashida"/>
        <w:rPr>
          <w:rFonts w:asciiTheme="majorBidi" w:hAnsiTheme="majorBidi" w:cstheme="majorBidi"/>
          <w:b/>
          <w:bCs/>
          <w:sz w:val="18"/>
          <w:szCs w:val="18"/>
          <w:rtl/>
        </w:rPr>
      </w:pPr>
      <w:r w:rsidRPr="00A20C90">
        <w:rPr>
          <w:rFonts w:asciiTheme="majorBidi" w:hAnsiTheme="majorBidi" w:cstheme="majorBidi"/>
          <w:b/>
          <w:bCs/>
          <w:sz w:val="18"/>
          <w:szCs w:val="18"/>
          <w:rtl/>
        </w:rPr>
        <w:t xml:space="preserve">كذلك منه قول الشاعر: </w:t>
      </w:r>
    </w:p>
    <w:tbl>
      <w:tblPr>
        <w:tblStyle w:val="a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96"/>
        <w:gridCol w:w="567"/>
        <w:gridCol w:w="2131"/>
      </w:tblGrid>
      <w:tr w:rsidR="00A20C90" w:rsidRPr="00A20C90" w:rsidTr="005F3475">
        <w:trPr>
          <w:trHeight w:hRule="exact" w:val="510"/>
          <w:jc w:val="center"/>
        </w:trPr>
        <w:tc>
          <w:tcPr>
            <w:tcW w:w="2909" w:type="dxa"/>
            <w:shd w:val="clear" w:color="auto" w:fill="auto"/>
            <w:vAlign w:val="center"/>
          </w:tcPr>
          <w:p w:rsidR="00A20C90" w:rsidRPr="00A20C90" w:rsidRDefault="00A20C90" w:rsidP="00A20C90">
            <w:pPr>
              <w:spacing w:after="120"/>
              <w:jc w:val="both"/>
              <w:rPr>
                <w:rFonts w:asciiTheme="majorBidi" w:hAnsiTheme="majorBidi" w:cstheme="majorBidi"/>
                <w:b/>
                <w:bCs/>
                <w:sz w:val="18"/>
                <w:szCs w:val="18"/>
                <w:rtl/>
              </w:rPr>
            </w:pPr>
            <w:r w:rsidRPr="00A20C90">
              <w:rPr>
                <w:rFonts w:asciiTheme="majorBidi" w:hAnsiTheme="majorBidi" w:cstheme="majorBidi"/>
                <w:b/>
                <w:bCs/>
                <w:sz w:val="18"/>
                <w:szCs w:val="18"/>
                <w:rtl/>
              </w:rPr>
              <w:t>هما يلبسان المجد أحسن لبسة</w:t>
            </w:r>
            <w:r w:rsidRPr="00A20C90">
              <w:rPr>
                <w:rFonts w:asciiTheme="majorBidi" w:hAnsiTheme="majorBidi" w:cstheme="majorBidi"/>
                <w:b/>
                <w:bCs/>
                <w:sz w:val="18"/>
                <w:szCs w:val="18"/>
                <w:rtl/>
              </w:rPr>
              <w:br/>
            </w:r>
          </w:p>
        </w:tc>
        <w:tc>
          <w:tcPr>
            <w:tcW w:w="709" w:type="dxa"/>
            <w:shd w:val="clear" w:color="auto" w:fill="auto"/>
            <w:vAlign w:val="center"/>
          </w:tcPr>
          <w:p w:rsidR="00A20C90" w:rsidRPr="00A20C90" w:rsidRDefault="00A20C90" w:rsidP="00A20C90">
            <w:pPr>
              <w:spacing w:after="120"/>
              <w:jc w:val="center"/>
              <w:rPr>
                <w:rFonts w:asciiTheme="majorBidi" w:hAnsiTheme="majorBidi" w:cstheme="majorBidi"/>
                <w:b/>
                <w:bCs/>
                <w:sz w:val="18"/>
                <w:szCs w:val="18"/>
                <w:rtl/>
              </w:rPr>
            </w:pPr>
            <w:r w:rsidRPr="00A20C90">
              <w:rPr>
                <w:rFonts w:asciiTheme="majorBidi" w:hAnsiTheme="majorBidi" w:cstheme="majorBidi"/>
                <w:b/>
                <w:bCs/>
                <w:sz w:val="18"/>
                <w:szCs w:val="18"/>
                <w:rtl/>
              </w:rPr>
              <w:t>*</w:t>
            </w:r>
          </w:p>
        </w:tc>
        <w:tc>
          <w:tcPr>
            <w:tcW w:w="2909" w:type="dxa"/>
            <w:shd w:val="clear" w:color="auto" w:fill="auto"/>
            <w:vAlign w:val="center"/>
          </w:tcPr>
          <w:p w:rsidR="00A20C90" w:rsidRPr="00A20C90" w:rsidRDefault="00A20C90" w:rsidP="00A20C90">
            <w:pPr>
              <w:spacing w:after="120"/>
              <w:jc w:val="both"/>
              <w:rPr>
                <w:rFonts w:asciiTheme="majorBidi" w:hAnsiTheme="majorBidi" w:cstheme="majorBidi"/>
                <w:b/>
                <w:bCs/>
                <w:sz w:val="18"/>
                <w:szCs w:val="18"/>
                <w:rtl/>
              </w:rPr>
            </w:pPr>
            <w:r w:rsidRPr="00A20C90">
              <w:rPr>
                <w:rFonts w:asciiTheme="majorBidi" w:hAnsiTheme="majorBidi" w:cstheme="majorBidi"/>
                <w:b/>
                <w:bCs/>
                <w:sz w:val="18"/>
                <w:szCs w:val="18"/>
                <w:rtl/>
              </w:rPr>
              <w:t>شحيحان ما اسطاعا عليه كلاهما</w:t>
            </w:r>
            <w:r w:rsidRPr="00A20C90">
              <w:rPr>
                <w:rFonts w:asciiTheme="majorBidi" w:hAnsiTheme="majorBidi" w:cstheme="majorBidi"/>
                <w:b/>
                <w:bCs/>
                <w:sz w:val="18"/>
                <w:szCs w:val="18"/>
                <w:rtl/>
              </w:rPr>
              <w:br/>
            </w:r>
          </w:p>
        </w:tc>
      </w:tr>
    </w:tbl>
    <w:p w:rsidR="00A20C90" w:rsidRPr="00A20C90" w:rsidRDefault="00A20C90" w:rsidP="00A20C90">
      <w:pPr>
        <w:spacing w:after="120" w:line="240" w:lineRule="auto"/>
        <w:jc w:val="lowKashida"/>
        <w:rPr>
          <w:rFonts w:cs="AL-Hotham"/>
          <w:b/>
          <w:bCs/>
          <w:sz w:val="18"/>
          <w:szCs w:val="18"/>
          <w:rtl/>
        </w:rPr>
      </w:pPr>
      <w:r w:rsidRPr="00A20C90">
        <w:rPr>
          <w:rFonts w:asciiTheme="majorBidi" w:hAnsiTheme="majorBidi" w:cstheme="majorBidi"/>
          <w:b/>
          <w:bCs/>
          <w:sz w:val="18"/>
          <w:szCs w:val="18"/>
          <w:rtl/>
        </w:rPr>
        <w:t>وإنما احتاج المدح والفخر إلى التوكيد</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لأن من شأن المادح والمفتخر، أن يلقيا الخبر مؤكدًا، كما امتلأت به أنفسهما</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وأن يمنعا السامعين من الشك فيه والارتياب. انتهى من كلام عبد القاهر في: (دلائل الإعجاز)، في تأكيد ما ذكره الإمام عبد القاهر مؤخرًا في مسألة: امتلاء النفس بتقديم المسند إليه على الخبر الفعلي مدحًا</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أو ذمًّا، أو غرابة</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وهذا أيضًا ذكره الإمام عبد القاهر، في موضع آخر، يقول تعالى: </w:t>
      </w:r>
      <w:r w:rsidRPr="00A20C90">
        <w:rPr>
          <w:rFonts w:cs="DecoType Thuluth"/>
          <w:b/>
          <w:bCs/>
          <w:color w:val="008000"/>
          <w:sz w:val="18"/>
          <w:szCs w:val="18"/>
          <w:rtl/>
        </w:rPr>
        <w:t>{</w:t>
      </w:r>
      <w:r w:rsidRPr="00A20C90">
        <w:rPr>
          <w:rFonts w:ascii="QCF_P360" w:hAnsi="QCF_P360" w:cs="QCF_P360"/>
          <w:b/>
          <w:bCs/>
          <w:color w:val="008000"/>
          <w:sz w:val="18"/>
          <w:szCs w:val="18"/>
          <w:rtl/>
        </w:rPr>
        <w:t>ﭺ ﭻ ﭼ ﭽ ﭾ ﭿ ﮀ ﮁ ﮂ</w:t>
      </w:r>
      <w:r w:rsidRPr="00A20C90">
        <w:rPr>
          <w:rFonts w:ascii="QCF_P360" w:hAnsi="QCF_P360" w:cs="DecoType Thuluth"/>
          <w:b/>
          <w:bCs/>
          <w:color w:val="008000"/>
          <w:sz w:val="18"/>
          <w:szCs w:val="18"/>
          <w:rtl/>
        </w:rPr>
        <w:t>}</w:t>
      </w:r>
      <w:r w:rsidRPr="00A20C90">
        <w:rPr>
          <w:rFonts w:cs="AL-Hotham"/>
          <w:b/>
          <w:bCs/>
          <w:color w:val="008000"/>
          <w:sz w:val="18"/>
          <w:szCs w:val="18"/>
          <w:rtl/>
        </w:rPr>
        <w:t xml:space="preserve"> </w:t>
      </w:r>
      <w:r w:rsidRPr="00A20C90">
        <w:rPr>
          <w:rFonts w:cs="AL-Hotham"/>
          <w:b/>
          <w:bCs/>
          <w:sz w:val="18"/>
          <w:szCs w:val="18"/>
          <w:rtl/>
        </w:rPr>
        <w:t>[</w:t>
      </w:r>
      <w:r w:rsidRPr="00A20C90">
        <w:rPr>
          <w:rFonts w:asciiTheme="majorBidi" w:hAnsiTheme="majorBidi" w:cstheme="majorBidi"/>
          <w:b/>
          <w:bCs/>
          <w:sz w:val="18"/>
          <w:szCs w:val="18"/>
          <w:rtl/>
        </w:rPr>
        <w:t>الفرقان: 5]، فإنك تجد التقديم، في قوله</w:t>
      </w:r>
      <w:r w:rsidRPr="00A20C90">
        <w:rPr>
          <w:rFonts w:cs="AL-Hotham"/>
          <w:b/>
          <w:bCs/>
          <w:sz w:val="18"/>
          <w:szCs w:val="18"/>
          <w:rtl/>
        </w:rPr>
        <w:t xml:space="preserve">: </w:t>
      </w:r>
      <w:r w:rsidRPr="00A20C90">
        <w:rPr>
          <w:rFonts w:cs="DecoType Thuluth"/>
          <w:b/>
          <w:bCs/>
          <w:color w:val="008000"/>
          <w:sz w:val="18"/>
          <w:szCs w:val="18"/>
          <w:rtl/>
        </w:rPr>
        <w:t>{</w:t>
      </w:r>
      <w:r w:rsidRPr="00A20C90">
        <w:rPr>
          <w:rFonts w:ascii="QCF_P360" w:hAnsi="QCF_P360" w:cs="QCF_P360"/>
          <w:b/>
          <w:bCs/>
          <w:color w:val="008000"/>
          <w:sz w:val="18"/>
          <w:szCs w:val="18"/>
          <w:rtl/>
        </w:rPr>
        <w:t>ﭾ ﭿ</w:t>
      </w:r>
      <w:r w:rsidRPr="00A20C90">
        <w:rPr>
          <w:rFonts w:cs="DecoType Thuluth"/>
          <w:b/>
          <w:bCs/>
          <w:color w:val="008000"/>
          <w:sz w:val="18"/>
          <w:szCs w:val="18"/>
          <w:rtl/>
        </w:rPr>
        <w:t>}</w:t>
      </w:r>
      <w:r w:rsidRPr="00A20C90">
        <w:rPr>
          <w:rFonts w:asciiTheme="majorBidi" w:hAnsiTheme="majorBidi" w:cstheme="majorBidi"/>
          <w:b/>
          <w:bCs/>
          <w:sz w:val="18"/>
          <w:szCs w:val="18"/>
          <w:rtl/>
        </w:rPr>
        <w:t>؛ حيث أكد الخبر</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وأنبأ بما في أنفس الكفرة</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ورغبتهم في أن يُلقى الخبر مؤكدًا</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وأن تُقرع به الأسماع قويًّا؛ فيثبت فيها ويقر</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ولا يكون هنالك مجالٌ للشك فيما يخبرون</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والارتياب فيما يصفون</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بل تمتلئ به أنفس السامعين</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ويرسخ بها كما امتلأت بها أنفس الكفرة.</w:t>
      </w:r>
    </w:p>
    <w:p w:rsidR="00A20C90" w:rsidRPr="00A20C90" w:rsidRDefault="00A20C90" w:rsidP="00A20C90">
      <w:pPr>
        <w:spacing w:after="120" w:line="240" w:lineRule="auto"/>
        <w:jc w:val="lowKashida"/>
        <w:rPr>
          <w:rFonts w:cs="AL-Hotham"/>
          <w:b/>
          <w:bCs/>
          <w:sz w:val="18"/>
          <w:szCs w:val="18"/>
          <w:rtl/>
        </w:rPr>
      </w:pPr>
      <w:r w:rsidRPr="00A20C90">
        <w:rPr>
          <w:rFonts w:cs="AL-Hotham"/>
          <w:b/>
          <w:bCs/>
          <w:sz w:val="18"/>
          <w:szCs w:val="18"/>
          <w:rtl/>
        </w:rPr>
        <w:t>خُذ قول</w:t>
      </w:r>
      <w:r w:rsidRPr="00A20C90">
        <w:rPr>
          <w:rFonts w:cs="AL-Hotham" w:hint="cs"/>
          <w:b/>
          <w:bCs/>
          <w:sz w:val="18"/>
          <w:szCs w:val="18"/>
          <w:rtl/>
        </w:rPr>
        <w:t xml:space="preserve"> الله</w:t>
      </w:r>
      <w:r w:rsidRPr="00A20C90">
        <w:rPr>
          <w:rFonts w:cs="AL-Hotham"/>
          <w:b/>
          <w:bCs/>
          <w:sz w:val="18"/>
          <w:szCs w:val="18"/>
          <w:rtl/>
        </w:rPr>
        <w:t xml:space="preserve"> تعالى: </w:t>
      </w:r>
      <w:r w:rsidRPr="00A20C90">
        <w:rPr>
          <w:rFonts w:cs="DecoType Thuluth"/>
          <w:b/>
          <w:bCs/>
          <w:color w:val="008000"/>
          <w:sz w:val="18"/>
          <w:szCs w:val="18"/>
          <w:rtl/>
        </w:rPr>
        <w:t>{</w:t>
      </w:r>
      <w:r w:rsidRPr="00A20C90">
        <w:rPr>
          <w:rFonts w:ascii="QCF_P176" w:hAnsi="QCF_P176" w:cs="QCF_P176"/>
          <w:b/>
          <w:bCs/>
          <w:color w:val="008000"/>
          <w:sz w:val="18"/>
          <w:szCs w:val="18"/>
          <w:rtl/>
        </w:rPr>
        <w:t>ﭑ ﭒ ﭓ ﭔ ﭕ ﭖ ﭗ ﭘ ﭙ ﭚ</w:t>
      </w:r>
      <w:r w:rsidRPr="00A20C90">
        <w:rPr>
          <w:rFonts w:ascii="QCF_P176" w:hAnsi="QCF_P176" w:cs="DecoType Thuluth"/>
          <w:b/>
          <w:bCs/>
          <w:color w:val="008000"/>
          <w:sz w:val="18"/>
          <w:szCs w:val="18"/>
          <w:rtl/>
        </w:rPr>
        <w:t>}</w:t>
      </w:r>
      <w:r w:rsidRPr="00A20C90">
        <w:rPr>
          <w:rFonts w:cs="AL-Hotham"/>
          <w:b/>
          <w:bCs/>
          <w:color w:val="008000"/>
          <w:sz w:val="18"/>
          <w:szCs w:val="18"/>
          <w:rtl/>
        </w:rPr>
        <w:t xml:space="preserve"> </w:t>
      </w:r>
      <w:r w:rsidRPr="00A20C90">
        <w:rPr>
          <w:rFonts w:cs="AL-Hotham"/>
          <w:b/>
          <w:bCs/>
          <w:sz w:val="18"/>
          <w:szCs w:val="18"/>
          <w:rtl/>
        </w:rPr>
        <w:t xml:space="preserve">[الأعراف: 196]، وتأمل قوله: </w:t>
      </w:r>
      <w:r w:rsidRPr="00A20C90">
        <w:rPr>
          <w:rFonts w:cs="DecoType Thuluth"/>
          <w:b/>
          <w:bCs/>
          <w:color w:val="008000"/>
          <w:sz w:val="18"/>
          <w:szCs w:val="18"/>
          <w:rtl/>
        </w:rPr>
        <w:t>{</w:t>
      </w:r>
      <w:r w:rsidRPr="00A20C90">
        <w:rPr>
          <w:rFonts w:ascii="QCF_P176" w:hAnsi="QCF_P176" w:cs="QCF_P176"/>
          <w:b/>
          <w:bCs/>
          <w:color w:val="008000"/>
          <w:sz w:val="18"/>
          <w:szCs w:val="18"/>
          <w:rtl/>
        </w:rPr>
        <w:t>ﭘ ﭙ ﭚ</w:t>
      </w:r>
      <w:r w:rsidRPr="00A20C90">
        <w:rPr>
          <w:rFonts w:ascii="QCF_P176" w:hAnsi="QCF_P176" w:cs="DecoType Thuluth"/>
          <w:b/>
          <w:bCs/>
          <w:color w:val="008000"/>
          <w:sz w:val="18"/>
          <w:szCs w:val="18"/>
          <w:rtl/>
        </w:rPr>
        <w:t>}</w:t>
      </w:r>
      <w:r w:rsidRPr="00A20C90">
        <w:rPr>
          <w:rFonts w:asciiTheme="majorBidi" w:hAnsiTheme="majorBidi" w:cstheme="majorBidi"/>
          <w:b/>
          <w:bCs/>
          <w:sz w:val="18"/>
          <w:szCs w:val="18"/>
          <w:rtl/>
        </w:rPr>
        <w:t xml:space="preserve">، وكيف أفاد تقديم المسند إليه، قوة إيمان المصطفى </w:t>
      </w:r>
      <w:r w:rsidRPr="00A20C90">
        <w:rPr>
          <w:rFonts w:asciiTheme="majorBidi" w:hAnsiTheme="majorBidi" w:cstheme="majorBidi"/>
          <w:b/>
          <w:bCs/>
          <w:position w:val="-4"/>
          <w:sz w:val="18"/>
          <w:szCs w:val="18"/>
        </w:rPr>
        <w:t></w:t>
      </w:r>
      <w:r w:rsidRPr="00A20C90">
        <w:rPr>
          <w:rFonts w:asciiTheme="majorBidi" w:hAnsiTheme="majorBidi" w:cstheme="majorBidi"/>
          <w:b/>
          <w:bCs/>
          <w:sz w:val="18"/>
          <w:szCs w:val="18"/>
          <w:rtl/>
        </w:rPr>
        <w:t xml:space="preserve"> وكمال ثقته بربه؛ حيث جاء الخبر قويًّا مؤكدًا قد امتلأت به نفسه </w:t>
      </w:r>
      <w:r w:rsidRPr="00A20C90">
        <w:rPr>
          <w:rFonts w:asciiTheme="majorBidi" w:hAnsiTheme="majorBidi" w:cstheme="majorBidi"/>
          <w:b/>
          <w:bCs/>
          <w:position w:val="-4"/>
          <w:sz w:val="18"/>
          <w:szCs w:val="18"/>
        </w:rPr>
        <w:t></w:t>
      </w:r>
      <w:r w:rsidRPr="00A20C90">
        <w:rPr>
          <w:rFonts w:asciiTheme="majorBidi" w:hAnsiTheme="majorBidi" w:cstheme="majorBidi"/>
          <w:b/>
          <w:bCs/>
          <w:sz w:val="18"/>
          <w:szCs w:val="18"/>
          <w:rtl/>
        </w:rPr>
        <w:t>.</w:t>
      </w:r>
    </w:p>
    <w:p w:rsidR="00A20C90" w:rsidRPr="00A20C90" w:rsidRDefault="00A20C90" w:rsidP="00A20C90">
      <w:pPr>
        <w:spacing w:after="120" w:line="240" w:lineRule="auto"/>
        <w:jc w:val="lowKashida"/>
        <w:rPr>
          <w:rFonts w:cs="AL-Hotham"/>
          <w:b/>
          <w:bCs/>
          <w:sz w:val="18"/>
          <w:szCs w:val="18"/>
          <w:rtl/>
        </w:rPr>
      </w:pPr>
      <w:r w:rsidRPr="00A20C90">
        <w:rPr>
          <w:rFonts w:asciiTheme="majorBidi" w:hAnsiTheme="majorBidi" w:cstheme="majorBidi"/>
          <w:b/>
          <w:bCs/>
          <w:sz w:val="18"/>
          <w:szCs w:val="18"/>
          <w:rtl/>
        </w:rPr>
        <w:t>ولا ارتياب في نصر الله وتوليه له</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وانظر إلى قوله تعالى</w:t>
      </w:r>
      <w:r w:rsidRPr="00A20C90">
        <w:rPr>
          <w:rFonts w:cs="AL-Hotham"/>
          <w:b/>
          <w:bCs/>
          <w:sz w:val="18"/>
          <w:szCs w:val="18"/>
          <w:rtl/>
        </w:rPr>
        <w:t xml:space="preserve">: </w:t>
      </w:r>
      <w:r w:rsidRPr="00A20C90">
        <w:rPr>
          <w:rFonts w:cs="DecoType Thuluth"/>
          <w:b/>
          <w:bCs/>
          <w:color w:val="008000"/>
          <w:sz w:val="18"/>
          <w:szCs w:val="18"/>
          <w:rtl/>
        </w:rPr>
        <w:t>{</w:t>
      </w:r>
      <w:r w:rsidRPr="00A20C90">
        <w:rPr>
          <w:rFonts w:ascii="QCF_P378" w:hAnsi="QCF_P378" w:cs="QCF_P378"/>
          <w:b/>
          <w:bCs/>
          <w:color w:val="008000"/>
          <w:sz w:val="18"/>
          <w:szCs w:val="18"/>
          <w:rtl/>
        </w:rPr>
        <w:t>ﮄ ﮅ ﮆ ﮇ ﮈ ﮉ ﮊ ﮋ ﮌ</w:t>
      </w:r>
      <w:r w:rsidRPr="00A20C90">
        <w:rPr>
          <w:rFonts w:cs="DecoType Thuluth"/>
          <w:b/>
          <w:bCs/>
          <w:color w:val="008000"/>
          <w:sz w:val="18"/>
          <w:szCs w:val="18"/>
          <w:rtl/>
        </w:rPr>
        <w:t>}</w:t>
      </w:r>
      <w:r w:rsidRPr="00A20C90">
        <w:rPr>
          <w:rFonts w:cs="AL-Hotham"/>
          <w:b/>
          <w:bCs/>
          <w:color w:val="008000"/>
          <w:sz w:val="18"/>
          <w:szCs w:val="18"/>
          <w:rtl/>
        </w:rPr>
        <w:t xml:space="preserve"> </w:t>
      </w:r>
      <w:r w:rsidRPr="00A20C90">
        <w:rPr>
          <w:rFonts w:cs="AL-Hotham"/>
          <w:b/>
          <w:bCs/>
          <w:sz w:val="18"/>
          <w:szCs w:val="18"/>
          <w:rtl/>
        </w:rPr>
        <w:t>[النمل: 17]، وقف على معنى كلمة</w:t>
      </w:r>
      <w:r w:rsidRPr="00A20C90">
        <w:rPr>
          <w:rFonts w:cs="AL-Hotham" w:hint="cs"/>
          <w:b/>
          <w:bCs/>
          <w:sz w:val="18"/>
          <w:szCs w:val="18"/>
          <w:rtl/>
        </w:rPr>
        <w:t>:</w:t>
      </w:r>
      <w:r w:rsidRPr="00A20C90">
        <w:rPr>
          <w:rFonts w:cs="AL-Hotham"/>
          <w:b/>
          <w:bCs/>
          <w:sz w:val="18"/>
          <w:szCs w:val="18"/>
          <w:rtl/>
        </w:rPr>
        <w:t xml:space="preserve"> </w:t>
      </w:r>
      <w:r w:rsidRPr="00A20C90">
        <w:rPr>
          <w:rFonts w:cs="DecoType Thuluth"/>
          <w:b/>
          <w:bCs/>
          <w:color w:val="008000"/>
          <w:sz w:val="18"/>
          <w:szCs w:val="18"/>
          <w:rtl/>
        </w:rPr>
        <w:t>{</w:t>
      </w:r>
      <w:r w:rsidRPr="00A20C90">
        <w:rPr>
          <w:rFonts w:ascii="QCF_P378" w:hAnsi="QCF_P378" w:cs="QCF_P378"/>
          <w:b/>
          <w:bCs/>
          <w:color w:val="008000"/>
          <w:sz w:val="18"/>
          <w:szCs w:val="18"/>
          <w:rtl/>
        </w:rPr>
        <w:t>ﮌ</w:t>
      </w:r>
      <w:r w:rsidRPr="00A20C90">
        <w:rPr>
          <w:rFonts w:cs="DecoType Thuluth"/>
          <w:b/>
          <w:bCs/>
          <w:color w:val="008000"/>
          <w:sz w:val="18"/>
          <w:szCs w:val="18"/>
          <w:rtl/>
        </w:rPr>
        <w:t>}</w:t>
      </w:r>
      <w:r w:rsidRPr="00A20C90">
        <w:rPr>
          <w:rFonts w:cs="AL-Hotham" w:hint="cs"/>
          <w:b/>
          <w:bCs/>
          <w:sz w:val="18"/>
          <w:szCs w:val="18"/>
          <w:rtl/>
        </w:rPr>
        <w:t>،</w:t>
      </w:r>
      <w:r w:rsidRPr="00A20C90">
        <w:rPr>
          <w:rFonts w:asciiTheme="majorBidi" w:hAnsiTheme="majorBidi" w:cstheme="majorBidi"/>
          <w:b/>
          <w:bCs/>
          <w:sz w:val="18"/>
          <w:szCs w:val="18"/>
          <w:rtl/>
        </w:rPr>
        <w:t xml:space="preserve"> إذ معناها -وهذا أمر غريب- أن يُحبس أولهم على آخرهم، بإيقاف أولهم حتى يلحق به آخرهم</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وهذا خبر غريب جرى على خلاف ما تقتضي به العادة من إنس</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وجن</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وطير على هيئته من الإيذاع والتداخل</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قد ضجَّ بهم المكان</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واضطرب؛ فغرابة هذا الخبر تقتضي تأكيده، حتى تأنس به النفوس ويتقرر لديها.</w:t>
      </w:r>
      <w:r w:rsidRPr="00A20C90">
        <w:rPr>
          <w:rFonts w:cs="AL-Hotham"/>
          <w:b/>
          <w:bCs/>
          <w:sz w:val="18"/>
          <w:szCs w:val="18"/>
          <w:rtl/>
        </w:rPr>
        <w:t xml:space="preserve"> </w:t>
      </w:r>
    </w:p>
    <w:p w:rsidR="00A20C90" w:rsidRPr="00A20C90" w:rsidRDefault="00A20C90" w:rsidP="00A20C90">
      <w:pPr>
        <w:spacing w:after="120" w:line="240" w:lineRule="auto"/>
        <w:jc w:val="lowKashida"/>
        <w:rPr>
          <w:rFonts w:cs="AL-Hotham"/>
          <w:b/>
          <w:bCs/>
          <w:sz w:val="18"/>
          <w:szCs w:val="18"/>
          <w:rtl/>
        </w:rPr>
      </w:pPr>
      <w:r w:rsidRPr="00A20C90">
        <w:rPr>
          <w:rFonts w:asciiTheme="majorBidi" w:hAnsiTheme="majorBidi" w:cstheme="majorBidi"/>
          <w:b/>
          <w:bCs/>
          <w:sz w:val="18"/>
          <w:szCs w:val="18"/>
          <w:rtl/>
        </w:rPr>
        <w:t>ولو قيل يوزعون هكذا مرسلًا بلا تأكيد</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لما كان التركيب ملائمًا لحال النفس المتلقية؛ ولذا رأينا عبد القاهر، يقول في مثل هذه الآيات الكريمات: "ومما هو بهذه المنزلة في أنك تجد المعنى لا يستقيم إلا على ما جاء عليه، من بناء الفعل على الاسم، قوله تعالى:</w:t>
      </w:r>
      <w:r w:rsidRPr="00A20C90">
        <w:rPr>
          <w:rFonts w:cs="AL-Hotham"/>
          <w:b/>
          <w:bCs/>
          <w:sz w:val="18"/>
          <w:szCs w:val="18"/>
          <w:rtl/>
        </w:rPr>
        <w:t xml:space="preserve"> </w:t>
      </w:r>
      <w:r w:rsidRPr="00A20C90">
        <w:rPr>
          <w:rFonts w:cs="DecoType Thuluth"/>
          <w:b/>
          <w:bCs/>
          <w:color w:val="008000"/>
          <w:sz w:val="18"/>
          <w:szCs w:val="18"/>
          <w:rtl/>
        </w:rPr>
        <w:t>{</w:t>
      </w:r>
      <w:r w:rsidRPr="00A20C90">
        <w:rPr>
          <w:rFonts w:ascii="QCF_P176" w:hAnsi="QCF_P176" w:cs="QCF_P176"/>
          <w:b/>
          <w:bCs/>
          <w:color w:val="008000"/>
          <w:sz w:val="18"/>
          <w:szCs w:val="18"/>
          <w:rtl/>
        </w:rPr>
        <w:t>ﭑ ﭒ ﭓ ﭔ ﭕ ﭖ ﭗ ﭘ ﭙ ﭚ</w:t>
      </w:r>
      <w:r w:rsidRPr="00A20C90">
        <w:rPr>
          <w:rFonts w:ascii="QCF_P176" w:hAnsi="QCF_P176" w:cs="DecoType Thuluth"/>
          <w:b/>
          <w:bCs/>
          <w:color w:val="008000"/>
          <w:sz w:val="18"/>
          <w:szCs w:val="18"/>
          <w:rtl/>
        </w:rPr>
        <w:t>}</w:t>
      </w:r>
      <w:r w:rsidRPr="00A20C90">
        <w:rPr>
          <w:rFonts w:cs="AL-Hotham"/>
          <w:b/>
          <w:bCs/>
          <w:sz w:val="18"/>
          <w:szCs w:val="18"/>
          <w:rtl/>
          <w:lang w:bidi="ar-EG"/>
        </w:rPr>
        <w:t>،</w:t>
      </w:r>
      <w:r w:rsidRPr="00A20C90">
        <w:rPr>
          <w:rFonts w:cs="AL-Hotham"/>
          <w:b/>
          <w:bCs/>
          <w:sz w:val="18"/>
          <w:szCs w:val="18"/>
          <w:rtl/>
        </w:rPr>
        <w:t xml:space="preserve"> وقوله: </w:t>
      </w:r>
      <w:r w:rsidRPr="00A20C90">
        <w:rPr>
          <w:rFonts w:cs="DecoType Thuluth"/>
          <w:b/>
          <w:bCs/>
          <w:color w:val="008000"/>
          <w:sz w:val="18"/>
          <w:szCs w:val="18"/>
          <w:rtl/>
        </w:rPr>
        <w:t>{</w:t>
      </w:r>
      <w:r w:rsidRPr="00A20C90">
        <w:rPr>
          <w:rFonts w:ascii="QCF_P360" w:hAnsi="QCF_P360" w:cs="QCF_P360"/>
          <w:b/>
          <w:bCs/>
          <w:color w:val="008000"/>
          <w:sz w:val="18"/>
          <w:szCs w:val="18"/>
          <w:rtl/>
        </w:rPr>
        <w:t>ﭺ ﭻ ﭼ ﭽ ﭾ ﭿ ﮀ ﮁ ﮂ</w:t>
      </w:r>
      <w:r w:rsidRPr="00A20C90">
        <w:rPr>
          <w:rFonts w:cs="DecoType Thuluth"/>
          <w:b/>
          <w:bCs/>
          <w:color w:val="008000"/>
          <w:sz w:val="18"/>
          <w:szCs w:val="18"/>
          <w:rtl/>
        </w:rPr>
        <w:t>}</w:t>
      </w:r>
      <w:r w:rsidRPr="00A20C90">
        <w:rPr>
          <w:rFonts w:cs="AL-Hotham"/>
          <w:b/>
          <w:bCs/>
          <w:sz w:val="18"/>
          <w:szCs w:val="18"/>
          <w:rtl/>
        </w:rPr>
        <w:t xml:space="preserve">، وقوله: </w:t>
      </w:r>
      <w:r w:rsidRPr="00A20C90">
        <w:rPr>
          <w:rFonts w:cs="DecoType Thuluth"/>
          <w:b/>
          <w:bCs/>
          <w:color w:val="008000"/>
          <w:sz w:val="18"/>
          <w:szCs w:val="18"/>
          <w:rtl/>
        </w:rPr>
        <w:t>{</w:t>
      </w:r>
      <w:r w:rsidRPr="00A20C90">
        <w:rPr>
          <w:rFonts w:ascii="QCF_P378" w:hAnsi="QCF_P378" w:cs="QCF_P378"/>
          <w:b/>
          <w:bCs/>
          <w:color w:val="008000"/>
          <w:sz w:val="18"/>
          <w:szCs w:val="18"/>
          <w:rtl/>
        </w:rPr>
        <w:t>ﮄ ﮅ ﮆ ﮇ ﮈ ﮉ ﮊ ﮋ ﮌ</w:t>
      </w:r>
      <w:r w:rsidRPr="00A20C90">
        <w:rPr>
          <w:rFonts w:cs="DecoType Thuluth"/>
          <w:b/>
          <w:bCs/>
          <w:color w:val="008000"/>
          <w:sz w:val="18"/>
          <w:szCs w:val="18"/>
          <w:rtl/>
        </w:rPr>
        <w:t>}</w:t>
      </w:r>
      <w:r w:rsidRPr="00A20C90">
        <w:rPr>
          <w:rFonts w:asciiTheme="majorBidi" w:hAnsiTheme="majorBidi" w:cstheme="majorBidi"/>
          <w:b/>
          <w:bCs/>
          <w:sz w:val="18"/>
          <w:szCs w:val="18"/>
          <w:rtl/>
        </w:rPr>
        <w:t>، فإنه لا يخفى على من له ذوق، أنه لو جيء في ذلك بالفعل غير مبني على الاسم، فقيل: "إن ولي الله الذي نزل الكتاب ويتولى الصالحين"، أو "واكتتبها فتملى عليه"، "وحشر لسليمان جنوده من الجن والأنس والطير فيوزعون"؛ لوجد اللفظ قد نبا عن المعنى</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والمعنى قد زال عن صورته وعن الحال التي ينبغي أن يكون عليها" انتهى كلام الشيخ عبد القاهر.</w:t>
      </w:r>
    </w:p>
    <w:p w:rsidR="00A20C90" w:rsidRPr="00A20C90" w:rsidRDefault="00A20C90" w:rsidP="00A20C90">
      <w:pPr>
        <w:spacing w:after="120" w:line="240" w:lineRule="auto"/>
        <w:jc w:val="lowKashida"/>
        <w:rPr>
          <w:rFonts w:asciiTheme="majorBidi" w:hAnsiTheme="majorBidi" w:cstheme="majorBidi"/>
          <w:b/>
          <w:bCs/>
          <w:sz w:val="18"/>
          <w:szCs w:val="18"/>
          <w:rtl/>
        </w:rPr>
      </w:pPr>
      <w:r w:rsidRPr="00A20C90">
        <w:rPr>
          <w:rFonts w:asciiTheme="majorBidi" w:hAnsiTheme="majorBidi" w:cstheme="majorBidi"/>
          <w:b/>
          <w:bCs/>
          <w:sz w:val="18"/>
          <w:szCs w:val="18"/>
          <w:rtl/>
        </w:rPr>
        <w:t>ونبو اللفظ عن المعنى عندئذٍ، مرجعه إلى خلو التركيب من التوكيد الذي اقتضاه المقام على نحو ما سبق بيانه</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وبعد أن أفضنا في الحديث عن تقديم المسند إليه المعرف على الخبر الفعلي</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نلقي الضوء على ما إذا كان المسند إليه المقدم نكرة</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لننظر هل يختلف الأمر في جعل السياق هو الحكم، فيما إذا كان المقصد من التقديم توكيدًا</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أو تخصيصًا</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وما الذي يتميز به هذا اللون من التقديم -تقديم المسند إليه النكرة- عن سابقيه. </w:t>
      </w:r>
    </w:p>
    <w:p w:rsidR="00A20C90" w:rsidRPr="00A20C90" w:rsidRDefault="00A20C90" w:rsidP="00A20C90">
      <w:pPr>
        <w:spacing w:after="120" w:line="240" w:lineRule="auto"/>
        <w:jc w:val="lowKashida"/>
        <w:rPr>
          <w:rFonts w:asciiTheme="majorBidi" w:hAnsiTheme="majorBidi" w:cstheme="majorBidi"/>
          <w:b/>
          <w:bCs/>
          <w:sz w:val="18"/>
          <w:szCs w:val="18"/>
          <w:rtl/>
        </w:rPr>
      </w:pPr>
      <w:r w:rsidRPr="00A20C90">
        <w:rPr>
          <w:rFonts w:asciiTheme="majorBidi" w:hAnsiTheme="majorBidi" w:cstheme="majorBidi"/>
          <w:b/>
          <w:bCs/>
          <w:sz w:val="18"/>
          <w:szCs w:val="18"/>
          <w:rtl/>
        </w:rPr>
        <w:lastRenderedPageBreak/>
        <w:t>فنقول -وبالله التوفيق-: إنه إذا كان المسند إليه نكرة، وقدمت على الخبر الفعلي</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فإن تقديمها لا يختلف في الدلالة عن تقديم المعرفة</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سوى أن النكرة قد يُراد بها الجنس</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وقد يُراد بها العدد</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فأنت تنظر في إفادة تقديم النكرة للاختصاص أو للتأكيد، إلى أحد هذين الأمرين الجنس أو العدد</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فتعتبر التخصيص أو التأكيد لأحدهما</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حسبما يقتضيه المقام</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ويحدده السياق وقرائن الأحوال</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فإذا قلت: ما رجل جاءني؛ فالمراد نفي المجيء عن الرجل، وإثباته لغيره</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وهذا الغير إما امرأة، وإما رجلان أو أكثر حسبما يقتضيه المقام</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فإن كان المخاطب يعتقد أن الذي جاء رجل</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وقد أتتك امرأة؛ فالمراد عندئذٍ: ما رجل جاءني، بل امرأة</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فإن كان يعتقد أن من جاءك رجل واحد</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وقد جاءك أكثر من رجل؛ كان المراد: ما رجل جاءني، بل رجلان</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أو ثلاثة</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أو أربعة، حسب العدد الذي قد حلَّ بك ونزل عندك. </w:t>
      </w:r>
    </w:p>
    <w:p w:rsidR="00A20C90" w:rsidRPr="00A20C90" w:rsidRDefault="00A20C90" w:rsidP="00A20C90">
      <w:pPr>
        <w:spacing w:after="120" w:line="240" w:lineRule="auto"/>
        <w:jc w:val="lowKashida"/>
        <w:rPr>
          <w:rFonts w:asciiTheme="majorBidi" w:hAnsiTheme="majorBidi" w:cstheme="majorBidi"/>
          <w:b/>
          <w:bCs/>
          <w:sz w:val="18"/>
          <w:szCs w:val="18"/>
          <w:rtl/>
        </w:rPr>
      </w:pPr>
      <w:r w:rsidRPr="00A20C90">
        <w:rPr>
          <w:rFonts w:asciiTheme="majorBidi" w:hAnsiTheme="majorBidi" w:cstheme="majorBidi"/>
          <w:b/>
          <w:bCs/>
          <w:sz w:val="18"/>
          <w:szCs w:val="18"/>
          <w:rtl/>
        </w:rPr>
        <w:t>وإذا قلت: رجل جاء</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فالمراد إما التوكيد وتقوية الحكم</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وإما التخصيص حسبما يقتضي المقام، يعني: على نحو ما سبق ذكره</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فيما إذا كان المسند إليه معرفًا</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فإن كان مخاطبك يُنكر المجيء، ويجحد أو يشك فيه</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أو يستبعده؛ فالمقام عندئذٍ يستدعي التأكيد</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ويتطلب التقوية</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وعندما تقول له: رجل جاء</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وتقدم المسند إليه النكرة</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فأنت تؤكد له الخبر؛ ليقر في ذهنه ويثبت. </w:t>
      </w:r>
    </w:p>
    <w:p w:rsidR="00A20C90" w:rsidRPr="00A20C90" w:rsidRDefault="00A20C90" w:rsidP="00A20C90">
      <w:pPr>
        <w:pStyle w:val="a3"/>
        <w:bidi/>
        <w:spacing w:before="0" w:beforeAutospacing="0" w:after="120" w:afterAutospacing="0"/>
        <w:jc w:val="lowKashida"/>
        <w:rPr>
          <w:rFonts w:asciiTheme="majorBidi" w:hAnsiTheme="majorBidi" w:cstheme="majorBidi"/>
          <w:b/>
          <w:bCs/>
          <w:sz w:val="18"/>
          <w:szCs w:val="18"/>
          <w:rtl/>
        </w:rPr>
      </w:pPr>
      <w:r w:rsidRPr="00A20C90">
        <w:rPr>
          <w:rFonts w:asciiTheme="majorBidi" w:hAnsiTheme="majorBidi" w:cstheme="majorBidi"/>
          <w:b/>
          <w:bCs/>
          <w:sz w:val="18"/>
          <w:szCs w:val="18"/>
          <w:rtl/>
        </w:rPr>
        <w:t>أما إن كان يعتقد أن الذي جاء امرأة أو أكثر من رجل؛ فالمراد بالتقديم عندئذٍ: تخصيص الجنس في الأول</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وتخصيص العدد في الثاني، أي: رجل جاء لا امرأة</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ورجل جاء لا رجلان، فإذا لم تُرد لا تأكيدًا ولا تخصيصًا، قلت: جاء رجل، بدون تقديم</w:t>
      </w:r>
      <w:r w:rsidRPr="00A20C90">
        <w:rPr>
          <w:rFonts w:asciiTheme="majorBidi" w:hAnsiTheme="majorBidi" w:cstheme="majorBidi"/>
          <w:b/>
          <w:bCs/>
          <w:sz w:val="18"/>
          <w:szCs w:val="18"/>
          <w:rtl/>
          <w:lang w:bidi="ar-EG"/>
        </w:rPr>
        <w:t>،</w:t>
      </w:r>
      <w:r w:rsidRPr="00A20C90">
        <w:rPr>
          <w:rFonts w:asciiTheme="majorBidi" w:hAnsiTheme="majorBidi" w:cstheme="majorBidi"/>
          <w:b/>
          <w:bCs/>
          <w:sz w:val="18"/>
          <w:szCs w:val="18"/>
          <w:rtl/>
        </w:rPr>
        <w:t xml:space="preserve"> وكذا القول في نحو قولك: رجل ما جاءني.</w:t>
      </w:r>
    </w:p>
    <w:p w:rsidR="00A20C90" w:rsidRPr="00A20C90" w:rsidRDefault="00A20C90" w:rsidP="00A20C90">
      <w:pPr>
        <w:widowControl w:val="0"/>
        <w:autoSpaceDE w:val="0"/>
        <w:autoSpaceDN w:val="0"/>
        <w:adjustRightInd w:val="0"/>
        <w:spacing w:after="120" w:line="240" w:lineRule="auto"/>
        <w:jc w:val="center"/>
        <w:rPr>
          <w:rFonts w:asciiTheme="majorBidi" w:hAnsiTheme="majorBidi" w:cstheme="majorBidi"/>
          <w:b/>
          <w:bCs/>
          <w:sz w:val="18"/>
          <w:szCs w:val="18"/>
          <w:rtl/>
          <w:lang w:bidi="ar-IQ"/>
        </w:rPr>
      </w:pPr>
      <w:r w:rsidRPr="00A20C90">
        <w:rPr>
          <w:rFonts w:asciiTheme="majorBidi" w:hAnsiTheme="majorBidi" w:cstheme="majorBidi" w:hint="cs"/>
          <w:b/>
          <w:bCs/>
          <w:sz w:val="18"/>
          <w:szCs w:val="18"/>
          <w:rtl/>
          <w:lang w:bidi="ar-IQ"/>
        </w:rPr>
        <w:t>المراجع والمصادر</w:t>
      </w:r>
    </w:p>
    <w:p w:rsidR="00A20C90" w:rsidRPr="00A20C90" w:rsidRDefault="00A20C90" w:rsidP="00A20C90">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A20C90">
        <w:rPr>
          <w:rFonts w:asciiTheme="majorBidi" w:hAnsiTheme="majorBidi" w:cstheme="majorBidi"/>
          <w:b/>
          <w:bCs/>
          <w:sz w:val="18"/>
          <w:szCs w:val="18"/>
          <w:rtl/>
          <w:lang w:bidi="ar-IQ"/>
        </w:rPr>
        <w:t>القزويني ، زكريا بن محمد القزويني تحقيق: محمد السعدي فرهود ، (الإيضاح في علوم البلاغة)  ، طبعة رقم1، سنة النشر: 2001 م</w:t>
      </w:r>
    </w:p>
    <w:p w:rsidR="00A20C90" w:rsidRPr="00A20C90" w:rsidRDefault="00A20C90" w:rsidP="00A20C90">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A20C90">
        <w:rPr>
          <w:rFonts w:asciiTheme="majorBidi" w:hAnsiTheme="majorBidi" w:cstheme="majorBidi"/>
          <w:b/>
          <w:bCs/>
          <w:sz w:val="18"/>
          <w:szCs w:val="18"/>
          <w:rtl/>
          <w:lang w:bidi="ar-IQ"/>
        </w:rPr>
        <w:t xml:space="preserve">الجرجاني، عبد القاهر الجرجاني، قرأه وعلق عليه محمود محمد شاكر،  (دلائل الاعجاز)  ، ط5، مكتبة الخانجي، 2004م.  </w:t>
      </w:r>
    </w:p>
    <w:p w:rsidR="00A20C90" w:rsidRPr="00A20C90" w:rsidRDefault="00A20C90" w:rsidP="00A20C90">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A20C90">
        <w:rPr>
          <w:rFonts w:asciiTheme="majorBidi" w:hAnsiTheme="majorBidi" w:cstheme="majorBidi"/>
          <w:b/>
          <w:bCs/>
          <w:sz w:val="18"/>
          <w:szCs w:val="18"/>
          <w:rtl/>
          <w:lang w:bidi="ar-IQ"/>
        </w:rPr>
        <w:t>أبو موسى، د. محمد محمد أبو موسى،   (دلالات التراكيب دراسة بلاغية) ، القاهرة، مكتبة وهبة للطباعة والنشر والتوزيع، 1987م</w:t>
      </w:r>
    </w:p>
    <w:p w:rsidR="00A20C90" w:rsidRPr="00A20C90" w:rsidRDefault="00A20C90" w:rsidP="00A20C90">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A20C90">
        <w:rPr>
          <w:rFonts w:asciiTheme="majorBidi" w:hAnsiTheme="majorBidi" w:cstheme="majorBidi"/>
          <w:b/>
          <w:bCs/>
          <w:sz w:val="18"/>
          <w:szCs w:val="18"/>
          <w:rtl/>
          <w:lang w:bidi="ar-IQ"/>
        </w:rPr>
        <w:t>المراغي، أحمد مصطفى المراغي،  (تاريخ علوم البلاغة و التعريف برجالها) ، القاهرة، مكتبة و مطبعة مصطفى البابي، ط1، 1950م</w:t>
      </w:r>
    </w:p>
    <w:p w:rsidR="00A20C90" w:rsidRPr="00A20C90" w:rsidRDefault="00A20C90" w:rsidP="00A20C90">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A20C90">
        <w:rPr>
          <w:rFonts w:asciiTheme="majorBidi" w:hAnsiTheme="majorBidi" w:cstheme="majorBidi"/>
          <w:b/>
          <w:bCs/>
          <w:sz w:val="18"/>
          <w:szCs w:val="18"/>
          <w:rtl/>
          <w:lang w:bidi="ar-IQ"/>
        </w:rPr>
        <w:t xml:space="preserve">فيود ، د. بسيوني عبد الفتاح فيود ، (علم البيان: دراسة تحليلية لمسائل البيان) ، القاهرة، مؤسسة المختار ، دار المعالم الثقافية، الإحساء ، ط 2،  1998 م </w:t>
      </w:r>
    </w:p>
    <w:p w:rsidR="00A20C90" w:rsidRPr="00A20C90" w:rsidRDefault="00A20C90" w:rsidP="00A20C90">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A20C90">
        <w:rPr>
          <w:rFonts w:asciiTheme="majorBidi" w:hAnsiTheme="majorBidi" w:cstheme="majorBidi"/>
          <w:b/>
          <w:bCs/>
          <w:sz w:val="18"/>
          <w:szCs w:val="18"/>
          <w:rtl/>
          <w:lang w:bidi="ar-IQ"/>
        </w:rPr>
        <w:t>الخوارزمي ، الشيخ يوسف بن أبي بكر بن محمد بن علي الخوارزمي الملقب بسراج الدين</w:t>
      </w:r>
      <w:r w:rsidRPr="00A20C90">
        <w:rPr>
          <w:rFonts w:asciiTheme="majorBidi" w:hAnsiTheme="majorBidi" w:cstheme="majorBidi"/>
          <w:b/>
          <w:bCs/>
          <w:sz w:val="18"/>
          <w:szCs w:val="18"/>
          <w:lang w:bidi="ar-IQ"/>
        </w:rPr>
        <w:t xml:space="preserve"> </w:t>
      </w:r>
      <w:r w:rsidRPr="00A20C90">
        <w:rPr>
          <w:rFonts w:asciiTheme="majorBidi" w:hAnsiTheme="majorBidi" w:cstheme="majorBidi"/>
          <w:b/>
          <w:bCs/>
          <w:sz w:val="18"/>
          <w:szCs w:val="18"/>
          <w:rtl/>
          <w:lang w:bidi="ar-IQ"/>
        </w:rPr>
        <w:t xml:space="preserve">السكاكي، (مفتاح العلوم)   ، لبنان، مكتبة المقهى، نشر دار الكتب العلمية، الطبعة الثانية ، 1987م </w:t>
      </w:r>
    </w:p>
    <w:p w:rsidR="00A20C90" w:rsidRPr="00A20C90" w:rsidRDefault="00A20C90" w:rsidP="00A20C90">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A20C90">
        <w:rPr>
          <w:rFonts w:asciiTheme="majorBidi" w:hAnsiTheme="majorBidi" w:cstheme="majorBidi"/>
          <w:b/>
          <w:bCs/>
          <w:sz w:val="18"/>
          <w:szCs w:val="18"/>
          <w:rtl/>
          <w:lang w:bidi="ar-IQ"/>
        </w:rPr>
        <w:t>الشاطئ، عائشة بنت الشاطئ،  (التفسير البياني) ، مكتبة المجلس، الطبعة الأولى، 1962م</w:t>
      </w:r>
    </w:p>
    <w:p w:rsidR="00A20C90" w:rsidRPr="00A20C90" w:rsidRDefault="00A20C90" w:rsidP="00A20C90">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A20C90">
        <w:rPr>
          <w:rFonts w:asciiTheme="majorBidi" w:hAnsiTheme="majorBidi" w:cstheme="majorBidi"/>
          <w:b/>
          <w:bCs/>
          <w:sz w:val="18"/>
          <w:szCs w:val="18"/>
          <w:rtl/>
          <w:lang w:bidi="ar-IQ"/>
        </w:rPr>
        <w:t>فيود، د. بسيوني عبد الفتاح فيود،  (علم البديع: دراسة تاريخية وفنية لأصول البلاغة ومسائل البديع) ،القاهرة، مؤسسة المختار، 2004</w:t>
      </w:r>
    </w:p>
    <w:p w:rsidR="00A20C90" w:rsidRPr="00A20C90" w:rsidRDefault="00A20C90" w:rsidP="00A20C90">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lang w:bidi="ar-IQ"/>
        </w:rPr>
      </w:pPr>
      <w:r w:rsidRPr="00A20C90">
        <w:rPr>
          <w:rFonts w:asciiTheme="majorBidi" w:hAnsiTheme="majorBidi" w:cstheme="majorBidi"/>
          <w:b/>
          <w:bCs/>
          <w:sz w:val="18"/>
          <w:szCs w:val="18"/>
          <w:rtl/>
          <w:lang w:bidi="ar-IQ"/>
        </w:rPr>
        <w:t>الصعيدي، عبد المتعال الصعيدي،  (البغية على  الإيضاح لتلخيص المفتاح في علوم البلاغة) ،مكتبة الآداب،  1999م</w:t>
      </w:r>
    </w:p>
    <w:p w:rsidR="00A20C90" w:rsidRPr="00A20C90" w:rsidRDefault="00A20C90" w:rsidP="00A20C90">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A20C90">
        <w:rPr>
          <w:rFonts w:asciiTheme="majorBidi" w:hAnsiTheme="majorBidi" w:cstheme="majorBidi"/>
          <w:b/>
          <w:bCs/>
          <w:sz w:val="18"/>
          <w:szCs w:val="18"/>
          <w:rtl/>
          <w:lang w:bidi="ar-IQ"/>
        </w:rPr>
        <w:t>شاهين، كامل السيد شاهين،  (اللباب في العروض و القافية) ،القاهرة، الهيئة العامة لشئون الأميرية، 1978م</w:t>
      </w:r>
    </w:p>
    <w:p w:rsidR="00A20C90" w:rsidRPr="00A20C90" w:rsidRDefault="00A20C90" w:rsidP="00A20C90">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A20C90">
        <w:rPr>
          <w:rFonts w:asciiTheme="majorBidi" w:hAnsiTheme="majorBidi" w:cstheme="majorBidi"/>
          <w:b/>
          <w:bCs/>
          <w:sz w:val="18"/>
          <w:szCs w:val="18"/>
          <w:rtl/>
          <w:lang w:bidi="ar-IQ"/>
        </w:rPr>
        <w:t>القيرواني، ابن رشيق القيرواني،  (العمدة في محاسن الشعر وآدابه) ،الناشر: دار الكتب العلمية، 2001م</w:t>
      </w:r>
    </w:p>
    <w:p w:rsidR="00A20C90" w:rsidRPr="00A20C90" w:rsidRDefault="00A20C90" w:rsidP="00A20C90">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A20C90">
        <w:rPr>
          <w:rFonts w:asciiTheme="majorBidi" w:hAnsiTheme="majorBidi" w:cstheme="majorBidi"/>
          <w:b/>
          <w:bCs/>
          <w:sz w:val="18"/>
          <w:szCs w:val="18"/>
          <w:rtl/>
          <w:lang w:bidi="ar-IQ"/>
        </w:rPr>
        <w:t>أبو موسى، د. محمد محمد أبو موسى،  (التصوير البياني) ،القاهرة، مكتبة وهبة للطباعة والنشر والتوزيع، 1997م</w:t>
      </w:r>
    </w:p>
    <w:p w:rsidR="00A20C90" w:rsidRDefault="00A20C90" w:rsidP="00A20C90">
      <w:pPr>
        <w:pStyle w:val="a3"/>
        <w:bidi/>
        <w:spacing w:before="0" w:beforeAutospacing="0" w:after="120" w:afterAutospacing="0" w:line="500" w:lineRule="exact"/>
        <w:jc w:val="lowKashida"/>
        <w:rPr>
          <w:rFonts w:asciiTheme="majorBidi" w:hAnsiTheme="majorBidi" w:cstheme="majorBidi"/>
          <w:sz w:val="32"/>
          <w:szCs w:val="32"/>
          <w:rtl/>
          <w:lang w:bidi="ar-IQ"/>
        </w:rPr>
        <w:sectPr w:rsidR="00A20C90" w:rsidSect="00A20C90">
          <w:type w:val="continuous"/>
          <w:pgSz w:w="11906" w:h="16838"/>
          <w:pgMar w:top="964" w:right="1021" w:bottom="964" w:left="1021" w:header="709" w:footer="709" w:gutter="0"/>
          <w:cols w:num="2" w:space="708"/>
          <w:bidi/>
          <w:rtlGutter/>
          <w:docGrid w:linePitch="360"/>
        </w:sectPr>
      </w:pPr>
    </w:p>
    <w:p w:rsidR="00A20C90" w:rsidRPr="001D6929" w:rsidRDefault="00A20C90" w:rsidP="00A20C90">
      <w:pPr>
        <w:pStyle w:val="a3"/>
        <w:bidi/>
        <w:spacing w:before="0" w:beforeAutospacing="0" w:after="120" w:afterAutospacing="0" w:line="500" w:lineRule="exact"/>
        <w:jc w:val="lowKashida"/>
        <w:rPr>
          <w:rFonts w:asciiTheme="majorBidi" w:hAnsiTheme="majorBidi" w:cstheme="majorBidi"/>
          <w:sz w:val="32"/>
          <w:szCs w:val="32"/>
          <w:rtl/>
          <w:lang w:bidi="ar-IQ"/>
        </w:rPr>
      </w:pPr>
    </w:p>
    <w:p w:rsidR="00A20C90" w:rsidRPr="001D6929" w:rsidRDefault="00A20C90" w:rsidP="00A20C90">
      <w:pPr>
        <w:spacing w:after="120" w:line="520" w:lineRule="exact"/>
        <w:jc w:val="lowKashida"/>
        <w:rPr>
          <w:rFonts w:asciiTheme="majorBidi" w:hAnsiTheme="majorBidi" w:cstheme="majorBidi"/>
          <w:sz w:val="32"/>
          <w:szCs w:val="32"/>
          <w:rtl/>
        </w:rPr>
      </w:pPr>
    </w:p>
    <w:p w:rsidR="00A20C90" w:rsidRPr="001D6929" w:rsidRDefault="00A20C90" w:rsidP="00A20C90">
      <w:pPr>
        <w:spacing w:after="120" w:line="520" w:lineRule="exact"/>
        <w:jc w:val="lowKashida"/>
        <w:rPr>
          <w:rFonts w:asciiTheme="majorBidi" w:hAnsiTheme="majorBidi" w:cstheme="majorBidi"/>
          <w:sz w:val="32"/>
          <w:szCs w:val="32"/>
          <w:rtl/>
        </w:rPr>
      </w:pPr>
    </w:p>
    <w:p w:rsidR="00A20C90" w:rsidRPr="00A20C90" w:rsidRDefault="00A20C90" w:rsidP="00A20C90">
      <w:pPr>
        <w:rPr>
          <w:i/>
          <w:iCs/>
          <w:sz w:val="48"/>
          <w:szCs w:val="48"/>
          <w:lang w:bidi="ar-EG"/>
        </w:rPr>
      </w:pPr>
    </w:p>
    <w:sectPr w:rsidR="00A20C90" w:rsidRPr="00A20C90" w:rsidSect="00A20C90">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L-Hotham">
    <w:charset w:val="B2"/>
    <w:family w:val="auto"/>
    <w:pitch w:val="variable"/>
    <w:sig w:usb0="00002001" w:usb1="00000000" w:usb2="00000000" w:usb3="00000000" w:csb0="00000040" w:csb1="00000000"/>
  </w:font>
  <w:font w:name="DecoType Thuluth">
    <w:altName w:val="Times New Roman"/>
    <w:panose1 w:val="02010000000000000000"/>
    <w:charset w:val="B2"/>
    <w:family w:val="auto"/>
    <w:pitch w:val="variable"/>
    <w:sig w:usb0="00002001" w:usb1="80000000" w:usb2="00000008" w:usb3="00000000" w:csb0="00000040" w:csb1="00000000"/>
  </w:font>
  <w:font w:name="QCF_P203">
    <w:altName w:val="Times New Roman"/>
    <w:charset w:val="00"/>
    <w:family w:val="auto"/>
    <w:pitch w:val="variable"/>
    <w:sig w:usb0="00000000" w:usb1="90000000" w:usb2="00000008" w:usb3="00000000" w:csb0="80000041" w:csb1="00000000"/>
  </w:font>
  <w:font w:name="QCF_P228">
    <w:altName w:val="Times New Roman"/>
    <w:charset w:val="00"/>
    <w:family w:val="auto"/>
    <w:pitch w:val="variable"/>
    <w:sig w:usb0="00000000" w:usb1="90000000" w:usb2="00000008" w:usb3="00000000" w:csb0="80000041" w:csb1="00000000"/>
  </w:font>
  <w:font w:name="QCF_P461">
    <w:altName w:val="Times New Roman"/>
    <w:charset w:val="00"/>
    <w:family w:val="auto"/>
    <w:pitch w:val="variable"/>
    <w:sig w:usb0="00000000" w:usb1="90000000" w:usb2="00000008" w:usb3="00000000" w:csb0="80000041" w:csb1="00000000"/>
  </w:font>
  <w:font w:name="QCF_P262">
    <w:altName w:val="Times New Roman"/>
    <w:charset w:val="00"/>
    <w:family w:val="auto"/>
    <w:pitch w:val="variable"/>
    <w:sig w:usb0="00000000" w:usb1="90000000" w:usb2="00000008" w:usb3="00000000" w:csb0="80000041" w:csb1="00000000"/>
  </w:font>
  <w:font w:name="QCF_P274">
    <w:altName w:val="Times New Roman"/>
    <w:charset w:val="00"/>
    <w:family w:val="auto"/>
    <w:pitch w:val="variable"/>
    <w:sig w:usb0="00000000" w:usb1="90000000" w:usb2="00000008" w:usb3="00000000" w:csb0="80000041" w:csb1="00000000"/>
  </w:font>
  <w:font w:name="QCF_P275">
    <w:altName w:val="Times New Roman"/>
    <w:charset w:val="00"/>
    <w:family w:val="auto"/>
    <w:pitch w:val="variable"/>
    <w:sig w:usb0="00000000" w:usb1="90000000" w:usb2="00000008" w:usb3="00000000" w:csb0="80000041" w:csb1="00000000"/>
  </w:font>
  <w:font w:name="QCF_P276">
    <w:altName w:val="Times New Roman"/>
    <w:charset w:val="00"/>
    <w:family w:val="auto"/>
    <w:pitch w:val="variable"/>
    <w:sig w:usb0="00000000" w:usb1="90000000" w:usb2="00000008" w:usb3="00000000" w:csb0="80000041" w:csb1="00000000"/>
  </w:font>
  <w:font w:name="QCF_P269">
    <w:altName w:val="Times New Roman"/>
    <w:charset w:val="00"/>
    <w:family w:val="auto"/>
    <w:pitch w:val="variable"/>
    <w:sig w:usb0="00000000" w:usb1="90000000" w:usb2="00000008" w:usb3="00000000" w:csb0="80000041" w:csb1="00000000"/>
  </w:font>
  <w:font w:name="QCF_P060">
    <w:altName w:val="Times New Roman"/>
    <w:charset w:val="00"/>
    <w:family w:val="auto"/>
    <w:pitch w:val="variable"/>
    <w:sig w:usb0="00000000" w:usb1="90000000" w:usb2="00000008" w:usb3="00000000" w:csb0="80000041" w:csb1="00000000"/>
  </w:font>
  <w:font w:name="QCF_P118">
    <w:altName w:val="Times New Roman"/>
    <w:charset w:val="00"/>
    <w:family w:val="auto"/>
    <w:pitch w:val="variable"/>
    <w:sig w:usb0="00000000" w:usb1="90000000" w:usb2="00000008" w:usb3="00000000" w:csb0="80000041" w:csb1="00000000"/>
  </w:font>
  <w:font w:name="QCF_P360">
    <w:altName w:val="Times New Roman"/>
    <w:charset w:val="00"/>
    <w:family w:val="auto"/>
    <w:pitch w:val="variable"/>
    <w:sig w:usb0="00000000" w:usb1="90000000" w:usb2="00000008" w:usb3="00000000" w:csb0="80000041" w:csb1="00000000"/>
  </w:font>
  <w:font w:name="QCF_P176">
    <w:altName w:val="Times New Roman"/>
    <w:charset w:val="00"/>
    <w:family w:val="auto"/>
    <w:pitch w:val="variable"/>
    <w:sig w:usb0="00000000" w:usb1="90000000" w:usb2="00000008" w:usb3="00000000" w:csb0="80000041" w:csb1="00000000"/>
  </w:font>
  <w:font w:name="QCF_P378">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52675"/>
    <w:multiLevelType w:val="hybridMultilevel"/>
    <w:tmpl w:val="3EF256F0"/>
    <w:lvl w:ilvl="0" w:tplc="2BEA3038">
      <w:start w:val="1"/>
      <w:numFmt w:val="upperRoman"/>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nsid w:val="5FA63C10"/>
    <w:multiLevelType w:val="hybridMultilevel"/>
    <w:tmpl w:val="F864D54C"/>
    <w:lvl w:ilvl="0" w:tplc="BCDCC496">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compat/>
  <w:rsids>
    <w:rsidRoot w:val="00A20C90"/>
    <w:rsid w:val="002632FC"/>
    <w:rsid w:val="00514443"/>
    <w:rsid w:val="00633118"/>
    <w:rsid w:val="009556CB"/>
    <w:rsid w:val="00A20C90"/>
    <w:rsid w:val="00A56FB2"/>
    <w:rsid w:val="00BF7572"/>
    <w:rsid w:val="00DF1B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20C90"/>
    <w:pPr>
      <w:bidi w:val="0"/>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rsid w:val="00A20C9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20C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1620</Words>
  <Characters>9234</Characters>
  <Application>Microsoft Office Word</Application>
  <DocSecurity>0</DocSecurity>
  <Lines>76</Lines>
  <Paragraphs>21</Paragraphs>
  <ScaleCrop>false</ScaleCrop>
  <Company/>
  <LinksUpToDate>false</LinksUpToDate>
  <CharactersWithSpaces>10833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3</cp:revision>
  <dcterms:created xsi:type="dcterms:W3CDTF">2013-06-13T21:32:00Z</dcterms:created>
  <dcterms:modified xsi:type="dcterms:W3CDTF">2013-06-17T08:16:00Z</dcterms:modified>
</cp:coreProperties>
</file>