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97" w:rsidRDefault="00A53D97" w:rsidP="00A53D97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A53D97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افتراض الاعتراض ومناقشته</w:t>
      </w:r>
    </w:p>
    <w:p w:rsidR="00A53D97" w:rsidRPr="00A53D97" w:rsidRDefault="00A53D97" w:rsidP="00A53D97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30"/>
          <w:szCs w:val="30"/>
          <w:rtl/>
        </w:rPr>
      </w:pPr>
    </w:p>
    <w:p w:rsidR="00A53D97" w:rsidRPr="00F7753E" w:rsidRDefault="00A53D97" w:rsidP="00A53D97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A53D97" w:rsidRPr="00426F7E" w:rsidRDefault="00A53D97" w:rsidP="00A53D9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A53D97" w:rsidRPr="00426F7E" w:rsidRDefault="00A53D97" w:rsidP="00A53D9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A53D97" w:rsidRPr="00426F7E" w:rsidRDefault="00A53D97" w:rsidP="00A53D97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A53D97" w:rsidRPr="00426F7E" w:rsidRDefault="00A53D97" w:rsidP="00A53D97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A53D97" w:rsidRDefault="00A53D97" w:rsidP="00A53D97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7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A53D97" w:rsidRPr="00426F7E" w:rsidRDefault="00A53D97" w:rsidP="00A53D97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53D97" w:rsidRDefault="00A53D97" w:rsidP="00A53D97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A53D97" w:rsidSect="00A53D97">
          <w:headerReference w:type="even" r:id="rId8"/>
          <w:pgSz w:w="11906" w:h="16838" w:code="9"/>
          <w:pgMar w:top="567" w:right="707" w:bottom="426" w:left="1701" w:header="720" w:footer="720" w:gutter="0"/>
          <w:cols w:space="720"/>
          <w:titlePg/>
          <w:bidi/>
          <w:rtlGutter/>
          <w:docGrid w:linePitch="360"/>
        </w:sectPr>
      </w:pPr>
    </w:p>
    <w:p w:rsidR="00A53D97" w:rsidRPr="00A53D97" w:rsidRDefault="00A53D97" w:rsidP="00A53D97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A53D97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افتراض الاعتراض ومناقشته</w:t>
      </w:r>
    </w:p>
    <w:p w:rsidR="00A53D97" w:rsidRPr="00A53D97" w:rsidRDefault="00A53D97" w:rsidP="00A53D97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A53D97" w:rsidRPr="00A53D97" w:rsidRDefault="00A53D97" w:rsidP="00A53D97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53D97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A53D97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الاعتراض، مناقتشته، اسلوب</w:t>
      </w:r>
    </w:p>
    <w:p w:rsidR="00A53D97" w:rsidRPr="00A53D97" w:rsidRDefault="00A53D97" w:rsidP="00A53D97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A53D97" w:rsidRPr="00A53D97" w:rsidRDefault="00A53D97" w:rsidP="00A53D97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A53D97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افتراض الاعتراض ومناقشته</w:t>
      </w:r>
    </w:p>
    <w:p w:rsidR="00A53D97" w:rsidRPr="00A53D97" w:rsidRDefault="00A53D97" w:rsidP="00A53D97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53D97" w:rsidRPr="00A53D97" w:rsidRDefault="00A53D97" w:rsidP="00A53D97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افتراض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الاعتراض ومناقشته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وهو أسلوب حاول به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ابن جني استكمال جوانب التوجيه، وإعطاء صورة دقيقة للوجه النحوي المقرر، ويقوم هذا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الأسلوب على افتراض سؤال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يتعلق بجانب من جوانب موطن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المخالفة، يعرفه هو جيدا، ولكنه يورده على صيغة سؤال أو اعتراض،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ثم يتكفل بالإجابة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الشافية عنه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ولقد تنوعت أغراض هذا الأسلوب، ولكن الغالب عليها كان إبعاد بعض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الاحتمالات القريبة عن ساحة التوجيه، فقد ذهب أبو الفتح في رفع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شيخ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من قراءة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وهذا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بعلي شيخ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إلى أنه خبر لمبتدأ محذوف، أو خبر لهذا، أو بدل من بعلي، أو أن شيخ مع بعلي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خبر واحد لهذا، ولكنه أراد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أن ينفي وجهًا آخر، فقال: فإن قلت: فهل تجيز أن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يكون بعلي وصفًا لهذا؟ قيل: لا؛ ذلك أن اسم الإشارة لا يوصف بالمضاف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وقد تكون الغاية منه إدحاض معنى متوهم، توجيه القراءة الشاذة، أو ترجيح وجه على آخر،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أو دفاعا عن وجه قرره، أو توضيحًا من المذاهب، وقد تكون الغاية تعليلًا لبعض الأحكام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التي يقررها، فقد ذكر أن قراءة النبي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فبذلك فلتفرحوا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على أصل الأمر في دخول اللام، وأنه لما كثر أمر الحاضر حذف حرف مضارعه، ثم جيء بهمزة الوصل؛ للتمكن من النطق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بالساكن، ثم عقب على ذلك بقوله: فإن قيل: ولم كان أمر الحاضر أكثر حتى دعت الحال إلى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تخفيفه لكثرته؟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قيل: لأن الغائب بعيد عنك، فإذا أردت أن تأمره احتجت إلى أن تأمر الحاضر؛ لتؤدي إليه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أنك تأمره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وقد تكون الغاية حسمًا لأمر المتنازع فيه، وذلك نحو تجويزه القياس على الشاذ إذا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اقتصر السماع عليه،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وقد فعل ذلك في قراءة ابن مسعود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ليس البر بأن تولوا وجوهكم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التي قاس فيها زيادة الباء على زيادتها في فاعل كفى، قال: فإن قلت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فإن كفى بالله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شاذ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قليل، فكيف قست عليه ليس، ولم نعلم الباء زيدت في اسم ليس، إنما زيدت في خبرها نحو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قوله تعالى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A53D97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A53D97">
        <w:rPr>
          <w:rFonts w:ascii="QCF_P098" w:hAnsi="QCF_P098" w:cs="QCF_P098"/>
          <w:b/>
          <w:bCs/>
          <w:spacing w:val="-4"/>
          <w:sz w:val="18"/>
          <w:szCs w:val="18"/>
          <w:rtl/>
        </w:rPr>
        <w:t>ﭩ ﭪ</w:t>
      </w:r>
      <w:r w:rsidRPr="00A53D97">
        <w:rPr>
          <w:rFonts w:ascii="QCF_P098" w:hAnsi="QCF_P098" w:cs="DecoType Thuluth"/>
          <w:b/>
          <w:bCs/>
          <w:spacing w:val="-4"/>
          <w:sz w:val="18"/>
          <w:szCs w:val="18"/>
          <w:rtl/>
        </w:rPr>
        <w:t>}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النساء: 123]؟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قيل: لو لم يكن شاذًا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لما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جوزنا قياسًا عليه، ما جوزناه، ولكنا نوجب فيه البتة واجبًا فاعرف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لقد استغل ابن جني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هذا الأسلوب؛ للإحاطة بكل ما يمكن قوله في الشواذ، وهو أسلوب رشيق، يجذب القارئ، ويبعد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عنه الملل، والجفاف في قضايا نظرية،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وغير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خاف ما فيه من اعتداد ابن جني بعلمه، وثقته البالغة بنفسه، فضلًا عن إضلاعه بالمنطق،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وتطبيق ذلك في هذه التوجيهات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4"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بعد ذلك ننتقل إلى تساند العلوم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: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يؤمن ابن جني أن علوم العربية متكاملة فيما بينها، ويتصل كل منها بالآخر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اتصال</w:t>
      </w:r>
      <w:r w:rsidRPr="00A53D97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>ً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 محكمًا، هو يقول في (سر الصناعة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)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:</w:t>
      </w:r>
      <w:r w:rsidRPr="00A53D97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أفلا ترى إلى تساند هذا العلم، واشتراك أجزائه،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حتى أنه ليجاب عن بعضه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بجواب غيره، لقد أفاد الرجل في هذا المنهج في تخريج عدد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من الشواذ، فاستعان بمعرفته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اللغوية الواسعة،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وحذقه لعلم الصرف،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وقوانينه، وتذوقه لجمال اللغة العربية، كما استعان بمعرفته لعلم العروض، ووحد بين هذه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العلوم؛ حتى بدت عنده وحدة لغوية متآلفة، يصعب التفريق بينها، وقد اتخذ من علم الصرف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وقوانينه متنفسًا واسعًا لتفسير بعض الوجوه النحوية، فقد عاد في قراءة الأعرج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وإذ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أخذ الله ميثاق النبيين لما آتيناكم من كتاب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إلى علم الصرف، ورأى أنها كانت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لمن ما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،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وأن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من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زيدت على مذهب أبي الحسن الأخفش في الواجب،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فالتقت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ثلاث ميمات فحذفت الأولى منهن، وبقيت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لما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مشددة، وأنها لو فك الإدغام لصارت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لمَا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، ولكن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النون أدغمت في الميم</w:t>
      </w:r>
      <w:r w:rsidRPr="00A53D97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ووقف عند قراءة السلمي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ألم تر إلى الملأ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، وقرر أن النكتة في تسكين الراء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ألم تر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إلى الملأ لتسكين الراء صرفية أيضًا، فقال: هذا لعمري هو أصل الحذف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رأى، يرى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، إلا أن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أكثر لغات العرب فيه تخفيف همزته بحذفها، وإلقاء حركتها على الراء قبلها على عبرة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التخفيف، وصار حرف المضارعة كأنه بدل من الهمزة، فابن جني يعود دائمًا إلى الصرف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يستنطقه العلة في توجيه الشواذ، وكأنه يؤمن بأن الصرف هو الأصل، والمصدر لكل علوم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العربية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وإذا كان أعياه النحو في تخريج القراءة، ولم يسعفه الصرف لاذ بالأصل النحوي،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أو اللغوي المسموع يستنطقه السبيل إلى أصل الأفعال في تعديها، ولزومها، واختلاف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الأحرف التي تتعدى بها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نذكر من ذلك: توجيهه لقراءة بلال بن أبي بردة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ولا تخسروا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الميزان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، فقد قرر أنها على حذف حرف الجر أي: تخسروا في الميزان،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فلما حذف الجر أفضى إليه الفعل فنصبه، فأصبح كقوله تعالى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53D9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53D97">
        <w:rPr>
          <w:rFonts w:ascii="QCF_P187" w:hAnsi="QCF_P187" w:cs="QCF_P187"/>
          <w:b/>
          <w:bCs/>
          <w:sz w:val="18"/>
          <w:szCs w:val="18"/>
          <w:rtl/>
        </w:rPr>
        <w:t>ﯓ ﯔ ﯕ ﯖ ﯗ</w:t>
      </w:r>
      <w:r w:rsidRPr="00A53D97">
        <w:rPr>
          <w:rFonts w:ascii="QCF_P187" w:hAnsi="QCF_P187" w:cs="DecoType Thuluth"/>
          <w:b/>
          <w:bCs/>
          <w:sz w:val="18"/>
          <w:szCs w:val="18"/>
          <w:rtl/>
        </w:rPr>
        <w:t>}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أي: في كل مرصد، وهو قد يربط النحو بالبلاغة، ويوحد بينهما، فقد علل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الرفع في قراءة ابن يعمر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كبرت كلمة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بأنه قد سمى قولهم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اتخذ الله ولدا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كلمة، كما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سموا القصيدة، وإن كانت مائة بيت كلمة، وأنها كوضعهم الاسم الواحد على جنسه، كقول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العرب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أهلك الناس الدرهم والدينار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وذهب الناس بالشاذة والبعير، وكقول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الحجاج على منبره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يا أيها الرجل، وكلكم ذلك الرجل، قال: ألا تراه لما أشفق أن يظن أنه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يريد رجلا واحدًا بعينه قال: وكلكم ذلك الرجل، كما حمل بعض القضايا على علم العروض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لقد وحد أبو الفتح بين فصائل العربية، ومزج بينها مزجًا أصيلًا عجيبًا، ووظف ذلك كله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في خدمة الوجه النحوي، فهو يأخذ على عاتقه التصدي لكل الشواذ، ولو قاده ذلك إلى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المبالغة، والبعد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بعد ذلك ننتقل إلى الدقة في توجيه القراءات، وتحرير الأحكام: لعل أهم ما يميز أسلوب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ابن جني في توجيه الشواذ: هو الدقة، بل الدقة البالغة، وهي تتجلى في اختيار الوجوه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النحوية المناسبة، وتفضيل بعضها على بعض، كما تتجلى في تبيين الفروق الدقيقة بين وجوه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القراءات، والأشعار، وسائر المصادر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صحيح أن ابن جني كان يعمل دائمًا على إجراء المصلحة بين الوجوه؛ لتتلاقى عند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قراءة العامة إلا أنه لم يتوان عن الإشارة الدائبة إلى كل أمر دقيق يتعلق بالقراءة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أو الشاهد، وقد ساعده على ذلك معرفة واسعة بخفايا العربية، وأسرار العربية، فقد ذهب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في قراءة علي بن أبي طالب </w:t>
      </w:r>
      <w:r w:rsidRPr="00A53D97">
        <w:rPr>
          <w:rFonts w:cs="SC_ALYERMOOK" w:hint="cs"/>
          <w:b/>
          <w:bCs/>
          <w:position w:val="-4"/>
          <w:sz w:val="18"/>
          <w:szCs w:val="18"/>
          <w:rtl/>
        </w:rPr>
        <w:t>&gt;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ولا نكتم شهادة الله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إلى أنها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أعم من قراءة الجماعة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53D97">
        <w:rPr>
          <w:rFonts w:ascii="QCF_P125" w:hAnsi="QCF_P125" w:cs="QCF_P125"/>
          <w:b/>
          <w:bCs/>
          <w:sz w:val="18"/>
          <w:szCs w:val="18"/>
          <w:rtl/>
        </w:rPr>
        <w:t>ﮰ ﮱ</w:t>
      </w:r>
      <w:r w:rsidRPr="00A53D97">
        <w:rPr>
          <w:rFonts w:ascii="QCF_P125" w:hAnsi="QCF_P125" w:cs="DecoType Thuluth"/>
          <w:b/>
          <w:bCs/>
          <w:sz w:val="18"/>
          <w:szCs w:val="18"/>
          <w:rtl/>
        </w:rPr>
        <w:t>}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المائدة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106]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بالإضافة، ولكن قراءة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الجماعة أفخم، وأشرف، وأحرى بترك كتمانها بإضافتها إلى الله </w:t>
      </w:r>
      <w:r w:rsidRPr="00A53D97">
        <w:rPr>
          <w:rFonts w:ascii="AGA Arabesque" w:hAnsi="AGA Arabesque" w:cs="Simplified Arabic"/>
          <w:b/>
          <w:bCs/>
          <w:position w:val="-4"/>
          <w:sz w:val="18"/>
          <w:szCs w:val="18"/>
        </w:rPr>
        <w:t>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ويمثل هذا الأسلوب مضي أبو الفتح يتأمل الوجوه،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ويدقق النظر، ولعل أبرزها ما في هذه الدقة: تحريره لأحكامه في القراءات، والشواذ، فقد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كان من عادة ابن جني في توجيه الشواذ أن يدقق النظر فيما يصدره من أحكام، وذلك من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طريق ترك بعض الاحتمالات المترتبة على أحكامها، ودفع ما قد يغمض منها، يذكر من ذلك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وموقفه في قراءة الحسن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فاتقوا النار التي وقودها الناس والحجارة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، فقد ذهب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إلى أنها على حذف المضاف، وقدره بذو، وقودها ذلك أي: أن الوقود بالضم عنده هو المصدر،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ولكنه لم يلبث أن استدرك على قوله هذا، ودفع الاعتراض الممكن، وقال: لكن قد جاء عنهم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الوقود بالفتح في المصدر؛ لقولهم: وقدت النار وقود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ا، وهو حس القبول منك، وكله شاذ،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والباب هو الضم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spacing w:after="12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وكما عمد إلى التدقيق في القراءات فعل ذلك في شواهده، وحرر الأحكام فيها، ودفع ما يمكن أن يقال فيها، نذكر من ذلك: موقفه من قراءة ابن يعمر: "ثم آتينا موسى الكتاب تمامًا على الذي أحسن" التي حذف فيها هو العائد على "ما"، واستشهد لها بقول الشاعر: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3"/>
        <w:gridCol w:w="560"/>
        <w:gridCol w:w="2032"/>
      </w:tblGrid>
      <w:tr w:rsidR="00A53D97" w:rsidRPr="00A53D97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A53D97" w:rsidRPr="00A53D97" w:rsidRDefault="00A53D97" w:rsidP="00A53D97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A53D97">
              <w:rPr>
                <w:rFonts w:cs="AGA Furat Regular"/>
                <w:b/>
                <w:bCs/>
                <w:sz w:val="18"/>
                <w:szCs w:val="18"/>
                <w:rtl/>
              </w:rPr>
              <w:t>لم أر مثل الفتيان في غي</w:t>
            </w:r>
            <w:r w:rsidRPr="00A53D97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D97" w:rsidRPr="00A53D97" w:rsidRDefault="00A53D97" w:rsidP="00A53D97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A53D97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53D97" w:rsidRPr="00A53D97" w:rsidRDefault="00A53D97" w:rsidP="00A53D97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A53D97">
              <w:rPr>
                <w:rFonts w:cs="AGA Furat Regular"/>
                <w:b/>
                <w:bCs/>
                <w:sz w:val="18"/>
                <w:szCs w:val="18"/>
                <w:rtl/>
              </w:rPr>
              <w:t>الأيام ينسون ما عواقبها</w:t>
            </w:r>
            <w:r w:rsidRPr="00A53D97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lastRenderedPageBreak/>
        <w:t>لكنه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احتاط لاستشهاده بهذا البيت، وأشار إلى ما يحتمله أيضًا، وهو أن يكون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ينسون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معلقا كما علقوا نقيضه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يعملون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 وتكون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ما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استفهامًا،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وعواقبها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خبر</w:t>
      </w:r>
      <w:r w:rsidRPr="00A53D97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إن كلامًا كثيرًا يمكن أن يقال في دقة ابن جني، وفي احتياطه لأحكامه، ولكن الإطالة هنا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تبدو تكرارًا لما قاله كثير من الدارسين. أما عن التعليل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كان أبو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الفتح مولعًا في توجيه الشواذ بذكر العلل في معظم ما يعرض له من تخريجات، وفي أغلب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الأحكام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فهو لا ينفك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يذكر لكل مسألة علتها، ثم يكاد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(المحتسب)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يكون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تعليل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 وتسويغًا، ففي قراءة الحسن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وامسحوا برءوسكم وأرجلكم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ذهب إلى أنها على حذف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الخبر، ثم علل ذلك بقوله: وكأنه بالرفع أقوى معنى؛ وذلك لأنه يستأنف فيرفع على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الابتداء، فيصير صاحب الجملة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والتعليل عنده يتصف دائمًا بنزعة منطقية، نذكر من هذه التعليلات: موقفه من قراءتي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الحمد لله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، و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الحمد لله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قال: من قراءة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الحمد لله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قال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إلا أن 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الحمدُ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بضم الحرفين أسهل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من 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الحمدِ</w:t>
      </w:r>
      <w:r w:rsidRPr="00A53D97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بكسرها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من الموضعين،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أحدهما أنه إذا كان اتباعًا،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فإن أقيس الإتباع أن يكون السبب أسبق رتبة من المسبب، فتكون ضمة اللام تابعة لضمة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الدال، وقد أكثر ابن جني من هذه التعليلات، فهو مذهب يستند إلى عقلية منطقية حادة، لا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تركن إلى الظواهر إلا بالعلل والأسباب، وإذا كانت هذه العلل المنطقية مقنعة، فإن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</w:rPr>
        <w:t>كثيرًا منها يجفو على علم اللغة</w:t>
      </w:r>
      <w:r w:rsidRPr="00A53D97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53D97" w:rsidRPr="00A53D97" w:rsidRDefault="00A53D97" w:rsidP="00A53D97">
      <w:pPr>
        <w:pStyle w:val="NormalWeb"/>
        <w:bidi/>
        <w:spacing w:before="0" w:beforeAutospacing="0" w:after="120" w:afterAutospacing="0"/>
        <w:jc w:val="center"/>
        <w:rPr>
          <w:rFonts w:asciiTheme="minorHAnsi" w:hAnsiTheme="minorHAnsi" w:cs="AL-Hotham" w:hint="cs"/>
          <w:b/>
          <w:bCs/>
          <w:sz w:val="18"/>
          <w:szCs w:val="18"/>
          <w:rtl/>
        </w:rPr>
      </w:pPr>
    </w:p>
    <w:p w:rsidR="00A53D97" w:rsidRPr="00A53D97" w:rsidRDefault="00A53D97" w:rsidP="00A53D9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53D97" w:rsidRPr="00A53D97" w:rsidRDefault="00A53D97" w:rsidP="00A53D97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A53D97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A53D97" w:rsidRPr="00A53D97" w:rsidRDefault="00A53D97" w:rsidP="00A53D97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عبد الكريم إبراهيم صالح،  دار المحدثين, 2006م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A53D97" w:rsidRPr="00A53D97" w:rsidRDefault="00A53D97" w:rsidP="00A53D97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A53D97" w:rsidRPr="00A53D97" w:rsidRDefault="00A53D97" w:rsidP="00A53D97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A53D97" w:rsidRPr="00A53D97" w:rsidRDefault="00A53D97" w:rsidP="00A53D97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A53D97" w:rsidRPr="00A53D97" w:rsidRDefault="00A53D97" w:rsidP="00A53D97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A53D97" w:rsidRPr="00A53D97" w:rsidRDefault="00A53D97" w:rsidP="00A53D97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A53D97" w:rsidRPr="00A53D97" w:rsidRDefault="00A53D97" w:rsidP="00A53D97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A53D97" w:rsidRPr="00A53D97" w:rsidRDefault="00A53D97" w:rsidP="00A53D97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53D97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A53D97" w:rsidRPr="00A53D97" w:rsidRDefault="00A53D97" w:rsidP="00A53D97">
      <w:pPr>
        <w:rPr>
          <w:rFonts w:hint="cs"/>
          <w:b/>
          <w:bCs/>
          <w:sz w:val="18"/>
          <w:szCs w:val="18"/>
        </w:rPr>
      </w:pPr>
    </w:p>
    <w:p w:rsidR="00A53D97" w:rsidRDefault="00A53D97" w:rsidP="00A53D97">
      <w:pPr>
        <w:rPr>
          <w:rtl/>
        </w:rPr>
        <w:sectPr w:rsidR="00A53D97" w:rsidSect="00A53D97">
          <w:type w:val="continuous"/>
          <w:pgSz w:w="11906" w:h="16838" w:code="9"/>
          <w:pgMar w:top="567" w:right="707" w:bottom="426" w:left="1701" w:header="720" w:footer="720" w:gutter="0"/>
          <w:cols w:num="2" w:space="720"/>
          <w:titlePg/>
          <w:bidi/>
          <w:rtlGutter/>
          <w:docGrid w:linePitch="360"/>
        </w:sectPr>
      </w:pPr>
    </w:p>
    <w:p w:rsidR="00A53D97" w:rsidRDefault="00A53D97" w:rsidP="00A53D97"/>
    <w:p w:rsidR="00A53D97" w:rsidRDefault="00A53D97" w:rsidP="00A53D97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53D97" w:rsidRDefault="00A53D97" w:rsidP="00A53D97"/>
    <w:p w:rsidR="00A53D97" w:rsidRPr="00A53D97" w:rsidRDefault="00A53D97" w:rsidP="00A53D97">
      <w:pPr>
        <w:pStyle w:val="NormalWeb"/>
        <w:bidi/>
        <w:spacing w:before="0" w:beforeAutospacing="0" w:after="120" w:afterAutospacing="0" w:line="500" w:lineRule="exact"/>
        <w:jc w:val="center"/>
        <w:rPr>
          <w:rFonts w:asciiTheme="minorHAnsi" w:hAnsiTheme="minorHAnsi" w:cs="AL-Hotham"/>
          <w:sz w:val="32"/>
          <w:szCs w:val="32"/>
        </w:rPr>
        <w:sectPr w:rsidR="00A53D97" w:rsidRPr="00A53D97" w:rsidSect="00A53D97">
          <w:type w:val="continuous"/>
          <w:pgSz w:w="11906" w:h="16838" w:code="9"/>
          <w:pgMar w:top="567" w:right="707" w:bottom="426" w:left="1701" w:header="720" w:footer="720" w:gutter="0"/>
          <w:cols w:space="720"/>
          <w:titlePg/>
          <w:bidi/>
          <w:rtlGutter/>
          <w:docGrid w:linePitch="360"/>
        </w:sectPr>
      </w:pPr>
    </w:p>
    <w:p w:rsidR="004219C3" w:rsidRDefault="004219C3">
      <w:pPr>
        <w:rPr>
          <w:lang w:bidi="ar-SA"/>
        </w:rPr>
      </w:pPr>
    </w:p>
    <w:sectPr w:rsidR="004219C3" w:rsidSect="00416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59" w:rsidRDefault="00414159" w:rsidP="00A53D97">
      <w:r>
        <w:separator/>
      </w:r>
    </w:p>
  </w:endnote>
  <w:endnote w:type="continuationSeparator" w:id="1">
    <w:p w:rsidR="00414159" w:rsidRDefault="00414159" w:rsidP="00A5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59" w:rsidRDefault="00414159" w:rsidP="00A53D97">
      <w:r>
        <w:separator/>
      </w:r>
    </w:p>
  </w:footnote>
  <w:footnote w:type="continuationSeparator" w:id="1">
    <w:p w:rsidR="00414159" w:rsidRDefault="00414159" w:rsidP="00A5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E9" w:rsidRDefault="00414159">
    <w:pPr>
      <w:pStyle w:val="Header"/>
    </w:pPr>
    <w:r>
      <w:rPr>
        <w:noProof/>
        <w:lang w:bidi="ar-SA"/>
      </w:rPr>
      <w:pict>
        <v:group id="_x0000_s1032" style="position:absolute;left:0;text-align:left;margin-left:3.5pt;margin-top:75.5pt;width:333.5pt;height:619.25pt;z-index:251661312" coordorigin="2625,2234" coordsize="6670,12385">
          <v:line id="_x0000_s1033" style="position:absolute" from="2648,14404" to="9269,14404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12;top:14165;width:754;height:454" fillcolor="#4f81bd" stroked="f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C326E9" w:rsidRPr="00907733" w:rsidRDefault="00414159" w:rsidP="005E730C">
                  <w:pPr>
                    <w:spacing w:line="280" w:lineRule="exact"/>
                    <w:jc w:val="center"/>
                    <w:rPr>
                      <w:rFonts w:cs="AL-Mateen" w:hint="cs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>
                    <w:rPr>
                      <w:rStyle w:val="PageNumber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252</w: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5;top:2501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5;top:2282;width:2551;height:397" fillcolor="#369" stroked="f">
            <v:shadow on="t" color="#b2b2b2" opacity="52429f" offset="1pt,0" offset2="-4pt,-4pt"/>
            <v:textpath style="font-family:&quot;Al-Mothnna&quot;;v-text-kern:t" trim="t" fitpath="t" string="القراءات الشاذة"/>
          </v:shape>
          <v:rect id="_x0000_s1037" style="position:absolute;left:7594;top:2234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C326E9" w:rsidRPr="00E31343" w:rsidRDefault="00414159" w:rsidP="005E730C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6;top:2330;width:1417;height:317" stroked="f">
            <v:shadow on="t" color="black" opacity="52429f" offset="1pt,0" offset2="-4pt,-4pt"/>
            <v:textpath style="font-family:&quot;AGA Granada Regular&quot;;v-text-kern:t" trim="t" fitpath="t" string="الدرس الخامس عشر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3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3D97"/>
    <w:rsid w:val="001A2769"/>
    <w:rsid w:val="00414159"/>
    <w:rsid w:val="004168A0"/>
    <w:rsid w:val="004219C3"/>
    <w:rsid w:val="004A286F"/>
    <w:rsid w:val="00A5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D9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53D97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A53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3D97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A53D97"/>
  </w:style>
  <w:style w:type="paragraph" w:styleId="Footer">
    <w:name w:val="footer"/>
    <w:basedOn w:val="Normal"/>
    <w:link w:val="FooterChar"/>
    <w:uiPriority w:val="99"/>
    <w:semiHidden/>
    <w:unhideWhenUsed/>
    <w:rsid w:val="00A53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97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A53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samir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7343</Characters>
  <Application>Microsoft Office Word</Application>
  <DocSecurity>0</DocSecurity>
  <Lines>61</Lines>
  <Paragraphs>17</Paragraphs>
  <ScaleCrop>false</ScaleCrop>
  <Company>Fannan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2013-06-16T15:28:00Z</dcterms:created>
  <dcterms:modified xsi:type="dcterms:W3CDTF">2013-06-16T15:31:00Z</dcterms:modified>
</cp:coreProperties>
</file>